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4420"/>
        <w:spacing w:after="0"/>
        <w:rPr>
          <w:sz w:val="20"/>
          <w:szCs w:val="20"/>
          <w:color w:val="auto"/>
        </w:rPr>
      </w:pPr>
      <w:r>
        <w:rPr>
          <w:rFonts w:ascii="Times New Roman" w:cs="Times New Roman" w:eastAsia="Times New Roman" w:hAnsi="Times New Roman"/>
          <w:sz w:val="31"/>
          <w:szCs w:val="31"/>
          <w:b w:val="1"/>
          <w:bCs w:val="1"/>
          <w:color w:val="auto"/>
        </w:rPr>
        <w:t>UNITED STATES</w:t>
      </w:r>
    </w:p>
    <w:p>
      <w:pPr>
        <w:spacing w:after="0" w:line="53" w:lineRule="exact"/>
        <w:rPr>
          <w:sz w:val="24"/>
          <w:szCs w:val="24"/>
          <w:color w:val="auto"/>
        </w:rPr>
      </w:pPr>
    </w:p>
    <w:p>
      <w:pPr>
        <w:ind w:left="2460"/>
        <w:spacing w:after="0"/>
        <w:rPr>
          <w:sz w:val="20"/>
          <w:szCs w:val="20"/>
          <w:color w:val="auto"/>
        </w:rPr>
      </w:pPr>
      <w:r>
        <w:rPr>
          <w:rFonts w:ascii="Times New Roman" w:cs="Times New Roman" w:eastAsia="Times New Roman" w:hAnsi="Times New Roman"/>
          <w:sz w:val="30"/>
          <w:szCs w:val="30"/>
          <w:b w:val="1"/>
          <w:bCs w:val="1"/>
          <w:color w:val="auto"/>
        </w:rPr>
        <w:t>SECURITIES AND EXCHANGE COMMISSION</w:t>
      </w:r>
    </w:p>
    <w:p>
      <w:pPr>
        <w:spacing w:after="0" w:line="93" w:lineRule="exact"/>
        <w:rPr>
          <w:sz w:val="24"/>
          <w:szCs w:val="24"/>
          <w:color w:val="auto"/>
        </w:rPr>
      </w:pPr>
    </w:p>
    <w:p>
      <w:pPr>
        <w:jc w:val="center"/>
        <w:ind w:right="-259"/>
        <w:spacing w:after="0"/>
        <w:rPr>
          <w:sz w:val="20"/>
          <w:szCs w:val="20"/>
          <w:color w:val="auto"/>
        </w:rPr>
      </w:pPr>
      <w:r>
        <w:rPr>
          <w:rFonts w:ascii="Times New Roman" w:cs="Times New Roman" w:eastAsia="Times New Roman" w:hAnsi="Times New Roman"/>
          <w:sz w:val="20"/>
          <w:szCs w:val="20"/>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229235</wp:posOffset>
            </wp:positionH>
            <wp:positionV relativeFrom="paragraph">
              <wp:posOffset>165100</wp:posOffset>
            </wp:positionV>
            <wp:extent cx="688721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887210" cy="8255"/>
                    </a:xfrm>
                    <a:prstGeom prst="rect">
                      <a:avLst/>
                    </a:prstGeom>
                    <a:noFill/>
                  </pic:spPr>
                </pic:pic>
              </a:graphicData>
            </a:graphic>
          </wp:anchor>
        </w:drawing>
      </w:r>
    </w:p>
    <w:p>
      <w:pPr>
        <w:spacing w:after="0" w:line="200" w:lineRule="exact"/>
        <w:rPr>
          <w:sz w:val="24"/>
          <w:szCs w:val="24"/>
          <w:color w:val="auto"/>
        </w:rPr>
      </w:pPr>
    </w:p>
    <w:p>
      <w:pPr>
        <w:spacing w:after="0" w:line="251" w:lineRule="exact"/>
        <w:rPr>
          <w:sz w:val="24"/>
          <w:szCs w:val="24"/>
          <w:color w:val="auto"/>
        </w:rPr>
      </w:pPr>
    </w:p>
    <w:p>
      <w:pPr>
        <w:jc w:val="center"/>
        <w:ind w:right="-319"/>
        <w:spacing w:after="0"/>
        <w:rPr>
          <w:sz w:val="20"/>
          <w:szCs w:val="20"/>
          <w:color w:val="auto"/>
        </w:rPr>
      </w:pPr>
      <w:r>
        <w:rPr>
          <w:rFonts w:ascii="Times New Roman" w:cs="Times New Roman" w:eastAsia="Times New Roman" w:hAnsi="Times New Roman"/>
          <w:sz w:val="31"/>
          <w:szCs w:val="31"/>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684530</wp:posOffset>
            </wp:positionH>
            <wp:positionV relativeFrom="paragraph">
              <wp:posOffset>102870</wp:posOffset>
            </wp:positionV>
            <wp:extent cx="651637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516370" cy="8255"/>
                    </a:xfrm>
                    <a:prstGeom prst="rect">
                      <a:avLst/>
                    </a:prstGeom>
                    <a:noFill/>
                  </pic:spPr>
                </pic:pic>
              </a:graphicData>
            </a:graphic>
          </wp:anchor>
        </w:drawing>
      </w:r>
    </w:p>
    <w:p>
      <w:pPr>
        <w:spacing w:after="0" w:line="200" w:lineRule="exact"/>
        <w:rPr>
          <w:sz w:val="24"/>
          <w:szCs w:val="24"/>
          <w:color w:val="auto"/>
        </w:rPr>
      </w:pPr>
    </w:p>
    <w:p>
      <w:pPr>
        <w:spacing w:after="0" w:line="272" w:lineRule="exact"/>
        <w:rPr>
          <w:sz w:val="24"/>
          <w:szCs w:val="24"/>
          <w:color w:val="auto"/>
        </w:rPr>
      </w:pPr>
    </w:p>
    <w:p>
      <w:pPr>
        <w:ind w:left="4700"/>
        <w:spacing w:after="0"/>
        <w:rPr>
          <w:sz w:val="20"/>
          <w:szCs w:val="20"/>
          <w:color w:val="auto"/>
        </w:rPr>
      </w:pPr>
      <w:r>
        <w:rPr>
          <w:rFonts w:ascii="Times New Roman" w:cs="Times New Roman" w:eastAsia="Times New Roman" w:hAnsi="Times New Roman"/>
          <w:sz w:val="20"/>
          <w:szCs w:val="20"/>
          <w:b w:val="1"/>
          <w:bCs w:val="1"/>
          <w:color w:val="auto"/>
        </w:rPr>
        <w:t>CURRENT REPORT</w:t>
      </w:r>
    </w:p>
    <w:p>
      <w:pPr>
        <w:spacing w:after="0" w:line="116" w:lineRule="exact"/>
        <w:rPr>
          <w:sz w:val="24"/>
          <w:szCs w:val="24"/>
          <w:color w:val="auto"/>
        </w:rPr>
      </w:pPr>
    </w:p>
    <w:p>
      <w:pPr>
        <w:ind w:left="3840"/>
        <w:spacing w:after="0"/>
        <w:rPr>
          <w:sz w:val="20"/>
          <w:szCs w:val="20"/>
          <w:color w:val="auto"/>
        </w:rPr>
      </w:pPr>
      <w:r>
        <w:rPr>
          <w:rFonts w:ascii="Times New Roman" w:cs="Times New Roman" w:eastAsia="Times New Roman" w:hAnsi="Times New Roman"/>
          <w:sz w:val="20"/>
          <w:szCs w:val="20"/>
          <w:b w:val="1"/>
          <w:bCs w:val="1"/>
          <w:color w:val="auto"/>
        </w:rPr>
        <w:t>PURSUANT TO SECTION 13 OR 15(d) OF</w:t>
      </w:r>
    </w:p>
    <w:p>
      <w:pPr>
        <w:spacing w:after="0" w:line="116" w:lineRule="exact"/>
        <w:rPr>
          <w:sz w:val="24"/>
          <w:szCs w:val="24"/>
          <w:color w:val="auto"/>
        </w:rPr>
      </w:pPr>
    </w:p>
    <w:p>
      <w:pPr>
        <w:ind w:left="3660"/>
        <w:spacing w:after="0"/>
        <w:rPr>
          <w:sz w:val="20"/>
          <w:szCs w:val="20"/>
          <w:color w:val="auto"/>
        </w:rPr>
      </w:pPr>
      <w:r>
        <w:rPr>
          <w:rFonts w:ascii="Times New Roman" w:cs="Times New Roman" w:eastAsia="Times New Roman" w:hAnsi="Times New Roman"/>
          <w:sz w:val="20"/>
          <w:szCs w:val="20"/>
          <w:b w:val="1"/>
          <w:bCs w:val="1"/>
          <w:color w:val="auto"/>
        </w:rPr>
        <w:t>THE SECURITIES EXCHANGE ACT OF 1934</w:t>
      </w:r>
    </w:p>
    <w:p>
      <w:pPr>
        <w:spacing w:after="0" w:line="120" w:lineRule="exact"/>
        <w:rPr>
          <w:sz w:val="24"/>
          <w:szCs w:val="24"/>
          <w:color w:val="auto"/>
        </w:rPr>
      </w:pPr>
    </w:p>
    <w:p>
      <w:pPr>
        <w:ind w:left="3580"/>
        <w:spacing w:after="0"/>
        <w:rPr>
          <w:sz w:val="20"/>
          <w:szCs w:val="20"/>
          <w:color w:val="auto"/>
        </w:rPr>
      </w:pPr>
      <w:r>
        <w:rPr>
          <w:rFonts w:ascii="Times New Roman" w:cs="Times New Roman" w:eastAsia="Times New Roman" w:hAnsi="Times New Roman"/>
          <w:sz w:val="19"/>
          <w:szCs w:val="19"/>
          <w:b w:val="1"/>
          <w:bCs w:val="1"/>
          <w:color w:val="auto"/>
        </w:rPr>
        <w:t>Date of Report (Date of earliest event reported): October 29,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684530</wp:posOffset>
            </wp:positionH>
            <wp:positionV relativeFrom="paragraph">
              <wp:posOffset>96520</wp:posOffset>
            </wp:positionV>
            <wp:extent cx="65163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516370" cy="8255"/>
                    </a:xfrm>
                    <a:prstGeom prst="rect">
                      <a:avLst/>
                    </a:prstGeom>
                    <a:noFill/>
                  </pic:spPr>
                </pic:pic>
              </a:graphicData>
            </a:graphic>
          </wp:anchor>
        </w:drawing>
      </w:r>
    </w:p>
    <w:p>
      <w:pPr>
        <w:spacing w:after="0" w:line="336" w:lineRule="exact"/>
        <w:rPr>
          <w:sz w:val="24"/>
          <w:szCs w:val="24"/>
          <w:color w:val="auto"/>
        </w:rPr>
      </w:pPr>
    </w:p>
    <w:p>
      <w:pPr>
        <w:jc w:val="center"/>
        <w:ind w:right="-299"/>
        <w:spacing w:after="0"/>
        <w:rPr>
          <w:sz w:val="20"/>
          <w:szCs w:val="20"/>
          <w:color w:val="auto"/>
        </w:rPr>
      </w:pPr>
      <w:r>
        <w:rPr>
          <w:rFonts w:ascii="Times New Roman" w:cs="Times New Roman" w:eastAsia="Times New Roman" w:hAnsi="Times New Roman"/>
          <w:sz w:val="38"/>
          <w:szCs w:val="38"/>
          <w:b w:val="1"/>
          <w:bCs w:val="1"/>
          <w:color w:val="auto"/>
        </w:rPr>
        <w:t>WORLD KINECT CORPORATION</w:t>
      </w:r>
    </w:p>
    <w:p>
      <w:pPr>
        <w:spacing w:after="0" w:line="132" w:lineRule="exact"/>
        <w:rPr>
          <w:sz w:val="24"/>
          <w:szCs w:val="24"/>
          <w:color w:val="auto"/>
        </w:rPr>
      </w:pPr>
    </w:p>
    <w:p>
      <w:pPr>
        <w:jc w:val="center"/>
        <w:ind w:right="-299"/>
        <w:spacing w:after="0"/>
        <w:rPr>
          <w:sz w:val="20"/>
          <w:szCs w:val="20"/>
          <w:color w:val="auto"/>
        </w:rPr>
      </w:pPr>
      <w:r>
        <w:rPr>
          <w:rFonts w:ascii="Times New Roman" w:cs="Times New Roman" w:eastAsia="Times New Roman" w:hAnsi="Times New Roman"/>
          <w:sz w:val="14"/>
          <w:szCs w:val="14"/>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229235</wp:posOffset>
            </wp:positionH>
            <wp:positionV relativeFrom="paragraph">
              <wp:posOffset>97790</wp:posOffset>
            </wp:positionV>
            <wp:extent cx="688721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887210" cy="8255"/>
                    </a:xfrm>
                    <a:prstGeom prst="rect">
                      <a:avLst/>
                    </a:prstGeom>
                    <a:noFill/>
                  </pic:spPr>
                </pic:pic>
              </a:graphicData>
            </a:graphic>
          </wp:anchor>
        </w:drawing>
      </w:r>
    </w:p>
    <w:p>
      <w:pPr>
        <w:sectPr>
          <w:pgSz w:w="11900" w:h="16838" w:orient="portrait"/>
          <w:cols w:equalWidth="0" w:num="1">
            <w:col w:w="11240"/>
          </w:cols>
          <w:pgMar w:left="320" w:top="1145" w:right="33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11" w:lineRule="exact"/>
        <w:rPr>
          <w:sz w:val="24"/>
          <w:szCs w:val="24"/>
          <w:color w:val="auto"/>
        </w:rPr>
      </w:pPr>
    </w:p>
    <w:p>
      <w:pPr>
        <w:ind w:left="1860"/>
        <w:spacing w:after="0"/>
        <w:rPr>
          <w:sz w:val="20"/>
          <w:szCs w:val="20"/>
          <w:color w:val="auto"/>
        </w:rPr>
      </w:pPr>
      <w:r>
        <w:rPr>
          <w:rFonts w:ascii="Times New Roman" w:cs="Times New Roman" w:eastAsia="Times New Roman" w:hAnsi="Times New Roman"/>
          <w:sz w:val="20"/>
          <w:szCs w:val="20"/>
          <w:b w:val="1"/>
          <w:bCs w:val="1"/>
          <w:color w:val="auto"/>
        </w:rPr>
        <w:t>Florida</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91" w:lineRule="exact"/>
        <w:rPr>
          <w:sz w:val="24"/>
          <w:szCs w:val="24"/>
          <w:color w:val="auto"/>
        </w:rPr>
      </w:pPr>
    </w:p>
    <w:p>
      <w:pPr>
        <w:jc w:val="center"/>
        <w:ind w:right="2060"/>
        <w:spacing w:after="0"/>
        <w:rPr>
          <w:sz w:val="20"/>
          <w:szCs w:val="20"/>
          <w:color w:val="auto"/>
        </w:rPr>
      </w:pPr>
      <w:r>
        <w:rPr>
          <w:rFonts w:ascii="Times New Roman" w:cs="Times New Roman" w:eastAsia="Times New Roman" w:hAnsi="Times New Roman"/>
          <w:sz w:val="20"/>
          <w:szCs w:val="20"/>
          <w:b w:val="1"/>
          <w:bCs w:val="1"/>
          <w:color w:val="auto"/>
        </w:rPr>
        <w:t>001-09533</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91" w:lineRule="exact"/>
        <w:rPr>
          <w:sz w:val="24"/>
          <w:szCs w:val="24"/>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59-2459427</w:t>
      </w:r>
    </w:p>
    <w:p>
      <w:pPr>
        <w:spacing w:after="0" w:line="44" w:lineRule="exact"/>
        <w:rPr>
          <w:sz w:val="24"/>
          <w:szCs w:val="24"/>
          <w:color w:val="auto"/>
        </w:rPr>
      </w:pPr>
    </w:p>
    <w:p>
      <w:pPr>
        <w:sectPr>
          <w:pgSz w:w="11900" w:h="16838" w:orient="portrait"/>
          <w:cols w:equalWidth="0" w:num="3">
            <w:col w:w="4740" w:space="720"/>
            <w:col w:w="2960" w:space="720"/>
            <w:col w:w="2100"/>
          </w:cols>
          <w:pgMar w:left="320" w:top="1145" w:right="339" w:bottom="1440" w:gutter="0" w:footer="0" w:header="0"/>
          <w:type w:val="continuous"/>
        </w:sectPr>
      </w:pPr>
    </w:p>
    <w:p>
      <w:pPr>
        <w:ind w:left="880"/>
        <w:spacing w:after="0"/>
        <w:rPr>
          <w:sz w:val="20"/>
          <w:szCs w:val="20"/>
          <w:color w:val="auto"/>
        </w:rPr>
      </w:pPr>
      <w:r>
        <w:rPr>
          <w:rFonts w:ascii="Times New Roman" w:cs="Times New Roman" w:eastAsia="Times New Roman" w:hAnsi="Times New Roman"/>
          <w:sz w:val="13"/>
          <w:szCs w:val="13"/>
          <w:b w:val="1"/>
          <w:bCs w:val="1"/>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3"/>
          <w:szCs w:val="13"/>
          <w:b w:val="1"/>
          <w:bCs w:val="1"/>
          <w:color w:val="auto"/>
        </w:rPr>
        <w:t>(Commission File Number)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3"/>
          <w:szCs w:val="13"/>
          <w:b w:val="1"/>
          <w:bCs w:val="1"/>
          <w:color w:val="auto"/>
        </w:rPr>
        <w:t>(I.R.S. Employer Identification No.)</w:t>
      </w:r>
    </w:p>
    <w:p>
      <w:pPr>
        <w:spacing w:after="0" w:line="200" w:lineRule="exact"/>
        <w:rPr>
          <w:sz w:val="24"/>
          <w:szCs w:val="24"/>
          <w:color w:val="auto"/>
        </w:rPr>
      </w:pPr>
    </w:p>
    <w:p>
      <w:pPr>
        <w:sectPr>
          <w:pgSz w:w="11900" w:h="16838" w:orient="portrait"/>
          <w:cols w:equalWidth="0" w:num="3">
            <w:col w:w="4400" w:space="720"/>
            <w:col w:w="2760" w:space="720"/>
            <w:col w:w="2640"/>
          </w:cols>
          <w:pgMar w:left="320" w:top="1145" w:right="339" w:bottom="1440" w:gutter="0" w:footer="0" w:header="0"/>
          <w:type w:val="continuous"/>
        </w:sectPr>
      </w:pPr>
    </w:p>
    <w:p>
      <w:pPr>
        <w:spacing w:after="0" w:line="68" w:lineRule="exact"/>
        <w:rPr>
          <w:sz w:val="24"/>
          <w:szCs w:val="24"/>
          <w:color w:val="auto"/>
        </w:rPr>
      </w:pPr>
    </w:p>
    <w:p>
      <w:pPr>
        <w:ind w:left="3240"/>
        <w:spacing w:after="0"/>
        <w:rPr>
          <w:sz w:val="20"/>
          <w:szCs w:val="20"/>
          <w:color w:val="auto"/>
        </w:rPr>
      </w:pPr>
      <w:r>
        <w:rPr>
          <w:rFonts w:ascii="Times New Roman" w:cs="Times New Roman" w:eastAsia="Times New Roman" w:hAnsi="Times New Roman"/>
          <w:sz w:val="20"/>
          <w:szCs w:val="20"/>
          <w:b w:val="1"/>
          <w:bCs w:val="1"/>
          <w:color w:val="auto"/>
        </w:rPr>
        <w:t>9800 N.W. 41st Street,</w:t>
      </w:r>
    </w:p>
    <w:p>
      <w:pPr>
        <w:spacing w:after="0" w:line="20" w:lineRule="exact"/>
        <w:rPr>
          <w:sz w:val="24"/>
          <w:szCs w:val="24"/>
          <w:color w:val="auto"/>
        </w:rPr>
      </w:pPr>
      <w:r>
        <w:rPr>
          <w:sz w:val="24"/>
          <w:szCs w:val="24"/>
          <w:color w:val="auto"/>
        </w:rPr>
        <w:br w:type="column"/>
      </w:r>
    </w:p>
    <w:p>
      <w:pPr>
        <w:spacing w:after="0" w:line="48" w:lineRule="exact"/>
        <w:rPr>
          <w:sz w:val="24"/>
          <w:szCs w:val="24"/>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Miami,</w:t>
      </w:r>
    </w:p>
    <w:p>
      <w:pPr>
        <w:spacing w:after="0" w:line="20" w:lineRule="exact"/>
        <w:rPr>
          <w:sz w:val="24"/>
          <w:szCs w:val="24"/>
          <w:color w:val="auto"/>
        </w:rPr>
      </w:pPr>
      <w:r>
        <w:rPr>
          <w:sz w:val="24"/>
          <w:szCs w:val="24"/>
          <w:color w:val="auto"/>
        </w:rPr>
        <w:br w:type="column"/>
      </w:r>
    </w:p>
    <w:p>
      <w:pPr>
        <w:spacing w:after="0" w:line="48" w:lineRule="exact"/>
        <w:rPr>
          <w:sz w:val="24"/>
          <w:szCs w:val="24"/>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Florida</w:t>
      </w:r>
    </w:p>
    <w:p>
      <w:pPr>
        <w:spacing w:after="0" w:line="20" w:lineRule="exact"/>
        <w:rPr>
          <w:sz w:val="24"/>
          <w:szCs w:val="24"/>
          <w:color w:val="auto"/>
        </w:rPr>
      </w:pPr>
      <w:r>
        <w:rPr>
          <w:sz w:val="24"/>
          <w:szCs w:val="24"/>
          <w:color w:val="auto"/>
        </w:rPr>
        <w:br w:type="column"/>
      </w:r>
    </w:p>
    <w:p>
      <w:pPr>
        <w:spacing w:after="0" w:line="48" w:lineRule="exact"/>
        <w:rPr>
          <w:sz w:val="24"/>
          <w:szCs w:val="24"/>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33178</w:t>
      </w:r>
    </w:p>
    <w:p>
      <w:pPr>
        <w:spacing w:after="0" w:line="52" w:lineRule="exact"/>
        <w:rPr>
          <w:sz w:val="24"/>
          <w:szCs w:val="24"/>
          <w:color w:val="auto"/>
        </w:rPr>
      </w:pPr>
    </w:p>
    <w:p>
      <w:pPr>
        <w:sectPr>
          <w:pgSz w:w="11900" w:h="16838" w:orient="portrait"/>
          <w:cols w:equalWidth="0" w:num="4">
            <w:col w:w="5160" w:space="480"/>
            <w:col w:w="640" w:space="320"/>
            <w:col w:w="640" w:space="640"/>
            <w:col w:w="3360"/>
          </w:cols>
          <w:pgMar w:left="320" w:top="1145" w:right="339" w:bottom="1440" w:gutter="0" w:footer="0" w:header="0"/>
          <w:type w:val="continuous"/>
        </w:sectPr>
      </w:pPr>
    </w:p>
    <w:p>
      <w:pPr>
        <w:spacing w:after="0" w:line="5" w:lineRule="exact"/>
        <w:rPr>
          <w:sz w:val="24"/>
          <w:szCs w:val="24"/>
          <w:color w:val="auto"/>
        </w:rPr>
      </w:pPr>
    </w:p>
    <w:p>
      <w:pPr>
        <w:ind w:left="4020"/>
        <w:spacing w:after="0"/>
        <w:rPr>
          <w:sz w:val="20"/>
          <w:szCs w:val="20"/>
          <w:color w:val="auto"/>
        </w:rPr>
      </w:pPr>
      <w:r>
        <w:rPr>
          <w:rFonts w:ascii="Times New Roman" w:cs="Times New Roman" w:eastAsia="Times New Roman" w:hAnsi="Times New Roman"/>
          <w:sz w:val="13"/>
          <w:szCs w:val="13"/>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5"/>
          <w:szCs w:val="15"/>
          <w:b w:val="1"/>
          <w:bCs w:val="1"/>
          <w:color w:val="auto"/>
        </w:rPr>
        <w:t>(Zip Code)</w:t>
      </w:r>
    </w:p>
    <w:p>
      <w:pPr>
        <w:spacing w:after="0" w:line="200" w:lineRule="exact"/>
        <w:rPr>
          <w:sz w:val="24"/>
          <w:szCs w:val="24"/>
          <w:color w:val="auto"/>
        </w:rPr>
      </w:pPr>
    </w:p>
    <w:p>
      <w:pPr>
        <w:sectPr>
          <w:pgSz w:w="11900" w:h="16838" w:orient="portrait"/>
          <w:cols w:equalWidth="0" w:num="2">
            <w:col w:w="7060" w:space="720"/>
            <w:col w:w="3460"/>
          </w:cols>
          <w:pgMar w:left="320" w:top="1145" w:right="339" w:bottom="1440" w:gutter="0" w:footer="0" w:header="0"/>
          <w:type w:val="continuous"/>
        </w:sectPr>
      </w:pPr>
    </w:p>
    <w:p>
      <w:pPr>
        <w:spacing w:after="0" w:line="7" w:lineRule="exact"/>
        <w:rPr>
          <w:sz w:val="24"/>
          <w:szCs w:val="24"/>
          <w:color w:val="auto"/>
        </w:rPr>
      </w:pPr>
    </w:p>
    <w:p>
      <w:pPr>
        <w:ind w:left="3660"/>
        <w:spacing w:after="0"/>
        <w:rPr>
          <w:sz w:val="20"/>
          <w:szCs w:val="20"/>
          <w:color w:val="auto"/>
        </w:rPr>
      </w:pPr>
      <w:r>
        <w:rPr>
          <w:rFonts w:ascii="Times New Roman" w:cs="Times New Roman" w:eastAsia="Times New Roman" w:hAnsi="Times New Roman"/>
          <w:sz w:val="17"/>
          <w:szCs w:val="17"/>
          <w:b w:val="1"/>
          <w:bCs w:val="1"/>
          <w:color w:val="auto"/>
        </w:rPr>
        <w:t>Registrant’s telephone number, including area code: (305) 428-8000</w:t>
      </w:r>
    </w:p>
    <w:p>
      <w:pPr>
        <w:spacing w:after="0" w:line="116" w:lineRule="exact"/>
        <w:rPr>
          <w:sz w:val="24"/>
          <w:szCs w:val="24"/>
          <w:color w:val="auto"/>
        </w:rPr>
      </w:pPr>
    </w:p>
    <w:p>
      <w:pPr>
        <w:ind w:firstLine="307"/>
        <w:spacing w:after="0" w:line="262" w:lineRule="auto"/>
        <w:rPr>
          <w:sz w:val="20"/>
          <w:szCs w:val="20"/>
          <w:color w:val="auto"/>
        </w:rPr>
      </w:pPr>
      <w:r>
        <w:rPr>
          <w:rFonts w:ascii="Times New Roman" w:cs="Times New Roman" w:eastAsia="Times New Roman" w:hAnsi="Times New Roman"/>
          <w:sz w:val="17"/>
          <w:szCs w:val="17"/>
          <w:color w:val="auto"/>
        </w:rPr>
        <w:t>Check the appropriate box below if the Form 8-K filing is intended to simultaneously satisfy the filing obligation of the registrant under any of the following provisions:</w:t>
      </w:r>
    </w:p>
    <w:p>
      <w:pPr>
        <w:spacing w:after="0" w:line="34" w:lineRule="exact"/>
        <w:rPr>
          <w:sz w:val="24"/>
          <w:szCs w:val="24"/>
          <w:color w:val="auto"/>
        </w:rPr>
      </w:pPr>
    </w:p>
    <w:p>
      <w:pPr>
        <w:ind w:left="500" w:hanging="190"/>
        <w:spacing w:after="0"/>
        <w:tabs>
          <w:tab w:leader="none" w:pos="500" w:val="left"/>
        </w:tabs>
        <w:numPr>
          <w:ilvl w:val="0"/>
          <w:numId w:val="1"/>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Written communications pursuant to Rule 425 under the Securities Act (17 CFR 230.425)</w:t>
      </w:r>
    </w:p>
    <w:p>
      <w:pPr>
        <w:spacing w:after="0" w:line="60" w:lineRule="exact"/>
        <w:rPr>
          <w:rFonts w:ascii="MS PGothic" w:cs="MS PGothic" w:eastAsia="MS PGothic" w:hAnsi="MS PGothic"/>
          <w:sz w:val="17"/>
          <w:szCs w:val="17"/>
          <w:color w:val="auto"/>
        </w:rPr>
      </w:pPr>
    </w:p>
    <w:p>
      <w:pPr>
        <w:ind w:left="500" w:hanging="190"/>
        <w:spacing w:after="0"/>
        <w:tabs>
          <w:tab w:leader="none" w:pos="500" w:val="left"/>
        </w:tabs>
        <w:numPr>
          <w:ilvl w:val="0"/>
          <w:numId w:val="1"/>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Soliciting material pursuant to Rule 14a-12 under the Exchange Act (17 CFR 240.14a-12)</w:t>
      </w:r>
    </w:p>
    <w:p>
      <w:pPr>
        <w:spacing w:after="0" w:line="60" w:lineRule="exact"/>
        <w:rPr>
          <w:rFonts w:ascii="MS PGothic" w:cs="MS PGothic" w:eastAsia="MS PGothic" w:hAnsi="MS PGothic"/>
          <w:sz w:val="17"/>
          <w:szCs w:val="17"/>
          <w:color w:val="auto"/>
        </w:rPr>
      </w:pPr>
    </w:p>
    <w:p>
      <w:pPr>
        <w:ind w:left="500" w:hanging="190"/>
        <w:spacing w:after="0"/>
        <w:tabs>
          <w:tab w:leader="none" w:pos="500" w:val="left"/>
        </w:tabs>
        <w:numPr>
          <w:ilvl w:val="0"/>
          <w:numId w:val="1"/>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Pre-commencement communications pursuant to Rule 14d-2(b) under the Exchange Act (17 CFR 240.14d-2(b))</w:t>
      </w:r>
    </w:p>
    <w:p>
      <w:pPr>
        <w:spacing w:after="0" w:line="60" w:lineRule="exact"/>
        <w:rPr>
          <w:rFonts w:ascii="MS PGothic" w:cs="MS PGothic" w:eastAsia="MS PGothic" w:hAnsi="MS PGothic"/>
          <w:sz w:val="17"/>
          <w:szCs w:val="17"/>
          <w:color w:val="auto"/>
        </w:rPr>
      </w:pPr>
    </w:p>
    <w:p>
      <w:pPr>
        <w:ind w:left="500" w:hanging="190"/>
        <w:spacing w:after="0"/>
        <w:tabs>
          <w:tab w:leader="none" w:pos="500" w:val="left"/>
        </w:tabs>
        <w:numPr>
          <w:ilvl w:val="0"/>
          <w:numId w:val="1"/>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Pre-commencement communications pursuant to Rule 13e-4(c) under the Exchange Act (17 CFR 240.13e-4(c))</w:t>
      </w:r>
    </w:p>
    <w:p>
      <w:pPr>
        <w:spacing w:after="0" w:line="200" w:lineRule="exact"/>
        <w:rPr>
          <w:sz w:val="24"/>
          <w:szCs w:val="24"/>
          <w:color w:val="auto"/>
        </w:rPr>
      </w:pPr>
    </w:p>
    <w:p>
      <w:pPr>
        <w:spacing w:after="0" w:line="347" w:lineRule="exact"/>
        <w:rPr>
          <w:sz w:val="24"/>
          <w:szCs w:val="24"/>
          <w:color w:val="auto"/>
        </w:rPr>
      </w:pPr>
    </w:p>
    <w:tbl>
      <w:tblPr>
        <w:tblLayout w:type="fixed"/>
        <w:tblInd w:w="0" w:type="dxa"/>
        <w:tblCellMar>
          <w:top w:w="0" w:type="dxa"/>
          <w:left w:w="0" w:type="dxa"/>
          <w:bottom w:w="0" w:type="dxa"/>
          <w:right w:w="0" w:type="dxa"/>
        </w:tblCellMar>
      </w:tblPr>
      <w:tr>
        <w:trPr>
          <w:trHeight w:val="222"/>
        </w:trPr>
        <w:tc>
          <w:tcPr>
            <w:tcW w:w="494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Securities registered pursuant to Section 12(b) of the Act:</w:t>
            </w:r>
          </w:p>
        </w:tc>
        <w:tc>
          <w:tcPr>
            <w:tcW w:w="1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3160" w:type="dxa"/>
            <w:vAlign w:val="bottom"/>
          </w:tcPr>
          <w:p>
            <w:pPr>
              <w:spacing w:after="0"/>
              <w:rPr>
                <w:sz w:val="19"/>
                <w:szCs w:val="19"/>
                <w:color w:val="auto"/>
              </w:rPr>
            </w:pPr>
          </w:p>
        </w:tc>
      </w:tr>
      <w:tr>
        <w:trPr>
          <w:trHeight w:val="422"/>
        </w:trPr>
        <w:tc>
          <w:tcPr>
            <w:tcW w:w="1620" w:type="dxa"/>
            <w:vAlign w:val="bottom"/>
          </w:tcPr>
          <w:p>
            <w:pPr>
              <w:spacing w:after="0"/>
              <w:rPr>
                <w:sz w:val="24"/>
                <w:szCs w:val="24"/>
                <w:color w:val="auto"/>
              </w:rPr>
            </w:pPr>
          </w:p>
        </w:tc>
        <w:tc>
          <w:tcPr>
            <w:tcW w:w="3320" w:type="dxa"/>
            <w:vAlign w:val="bottom"/>
            <w:gridSpan w:val="2"/>
          </w:tcPr>
          <w:p>
            <w:pPr>
              <w:jc w:val="center"/>
              <w:ind w:right="2040"/>
              <w:spacing w:after="0"/>
              <w:rPr>
                <w:sz w:val="20"/>
                <w:szCs w:val="20"/>
                <w:color w:val="auto"/>
              </w:rPr>
            </w:pPr>
            <w:r>
              <w:rPr>
                <w:rFonts w:ascii="Times New Roman" w:cs="Times New Roman" w:eastAsia="Times New Roman" w:hAnsi="Times New Roman"/>
                <w:sz w:val="17"/>
                <w:szCs w:val="17"/>
                <w:b w:val="1"/>
                <w:bCs w:val="1"/>
                <w:color w:val="auto"/>
                <w:w w:val="99"/>
              </w:rPr>
              <w:t>Title of each class</w:t>
            </w:r>
          </w:p>
        </w:tc>
        <w:tc>
          <w:tcPr>
            <w:tcW w:w="2440" w:type="dxa"/>
            <w:vAlign w:val="bottom"/>
            <w:gridSpan w:val="2"/>
          </w:tcPr>
          <w:p>
            <w:pPr>
              <w:jc w:val="center"/>
              <w:ind w:right="1080"/>
              <w:spacing w:after="0"/>
              <w:rPr>
                <w:sz w:val="20"/>
                <w:szCs w:val="20"/>
                <w:color w:val="auto"/>
              </w:rPr>
            </w:pPr>
            <w:r>
              <w:rPr>
                <w:rFonts w:ascii="Times New Roman" w:cs="Times New Roman" w:eastAsia="Times New Roman" w:hAnsi="Times New Roman"/>
                <w:sz w:val="17"/>
                <w:szCs w:val="17"/>
                <w:b w:val="1"/>
                <w:bCs w:val="1"/>
                <w:color w:val="auto"/>
                <w:w w:val="99"/>
              </w:rPr>
              <w:t>Trading Symbol(s)</w:t>
            </w:r>
          </w:p>
        </w:tc>
        <w:tc>
          <w:tcPr>
            <w:tcW w:w="316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w w:val="99"/>
              </w:rPr>
              <w:t>Name of each exchange on which registered</w:t>
            </w:r>
          </w:p>
        </w:tc>
      </w:tr>
      <w:tr>
        <w:trPr>
          <w:trHeight w:val="20"/>
        </w:trPr>
        <w:tc>
          <w:tcPr>
            <w:tcW w:w="1620" w:type="dxa"/>
            <w:vAlign w:val="bottom"/>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3160" w:type="dxa"/>
            <w:vAlign w:val="bottom"/>
            <w:shd w:val="clear" w:color="auto" w:fill="000000"/>
          </w:tcPr>
          <w:p>
            <w:pPr>
              <w:spacing w:after="0" w:line="20" w:lineRule="exact"/>
              <w:rPr>
                <w:sz w:val="1"/>
                <w:szCs w:val="1"/>
                <w:color w:val="auto"/>
              </w:rPr>
            </w:pPr>
          </w:p>
        </w:tc>
      </w:tr>
      <w:tr>
        <w:trPr>
          <w:trHeight w:val="339"/>
        </w:trPr>
        <w:tc>
          <w:tcPr>
            <w:tcW w:w="4940" w:type="dxa"/>
            <w:vAlign w:val="bottom"/>
            <w:gridSpan w:val="3"/>
          </w:tcPr>
          <w:p>
            <w:pPr>
              <w:jc w:val="center"/>
              <w:ind w:right="420"/>
              <w:spacing w:after="0"/>
              <w:rPr>
                <w:sz w:val="20"/>
                <w:szCs w:val="20"/>
                <w:color w:val="auto"/>
              </w:rPr>
            </w:pPr>
            <w:r>
              <w:rPr>
                <w:rFonts w:ascii="Times New Roman" w:cs="Times New Roman" w:eastAsia="Times New Roman" w:hAnsi="Times New Roman"/>
                <w:sz w:val="17"/>
                <w:szCs w:val="17"/>
                <w:b w:val="1"/>
                <w:bCs w:val="1"/>
                <w:color w:val="auto"/>
                <w:w w:val="99"/>
              </w:rPr>
              <w:t>Common Stock, par value $0.01 per share</w:t>
            </w:r>
          </w:p>
        </w:tc>
        <w:tc>
          <w:tcPr>
            <w:tcW w:w="2440" w:type="dxa"/>
            <w:vAlign w:val="bottom"/>
            <w:gridSpan w:val="2"/>
          </w:tcPr>
          <w:p>
            <w:pPr>
              <w:jc w:val="center"/>
              <w:ind w:right="1100"/>
              <w:spacing w:after="0"/>
              <w:rPr>
                <w:sz w:val="20"/>
                <w:szCs w:val="20"/>
                <w:color w:val="auto"/>
              </w:rPr>
            </w:pPr>
            <w:r>
              <w:rPr>
                <w:rFonts w:ascii="Times New Roman" w:cs="Times New Roman" w:eastAsia="Times New Roman" w:hAnsi="Times New Roman"/>
                <w:sz w:val="17"/>
                <w:szCs w:val="17"/>
                <w:b w:val="1"/>
                <w:bCs w:val="1"/>
                <w:color w:val="auto"/>
                <w:w w:val="98"/>
              </w:rPr>
              <w:t>WKC</w:t>
            </w:r>
          </w:p>
        </w:tc>
        <w:tc>
          <w:tcPr>
            <w:tcW w:w="316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w w:val="98"/>
              </w:rPr>
              <w:t>New York Stock Exchange</w:t>
            </w:r>
          </w:p>
        </w:tc>
      </w:tr>
    </w:tbl>
    <w:p>
      <w:pPr>
        <w:spacing w:after="0" w:line="162" w:lineRule="exact"/>
        <w:rPr>
          <w:sz w:val="24"/>
          <w:szCs w:val="24"/>
          <w:color w:val="auto"/>
        </w:rPr>
      </w:pPr>
    </w:p>
    <w:p>
      <w:pPr>
        <w:ind w:firstLine="307"/>
        <w:spacing w:after="0" w:line="284" w:lineRule="auto"/>
        <w:rPr>
          <w:sz w:val="20"/>
          <w:szCs w:val="20"/>
          <w:color w:val="auto"/>
        </w:rPr>
      </w:pPr>
      <w:r>
        <w:rPr>
          <w:rFonts w:ascii="Times New Roman" w:cs="Times New Roman" w:eastAsia="Times New Roman" w:hAnsi="Times New Roman"/>
          <w:sz w:val="17"/>
          <w:szCs w:val="17"/>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1" w:lineRule="exact"/>
        <w:rPr>
          <w:sz w:val="24"/>
          <w:szCs w:val="24"/>
          <w:color w:val="auto"/>
        </w:rPr>
      </w:pPr>
    </w:p>
    <w:p>
      <w:pPr>
        <w:ind w:left="300"/>
        <w:spacing w:after="0" w:line="196" w:lineRule="exact"/>
        <w:rPr>
          <w:sz w:val="20"/>
          <w:szCs w:val="20"/>
          <w:color w:val="auto"/>
        </w:rPr>
      </w:pPr>
      <w:r>
        <w:rPr>
          <w:rFonts w:ascii="Times New Roman" w:cs="Times New Roman" w:eastAsia="Times New Roman" w:hAnsi="Times New Roman"/>
          <w:sz w:val="17"/>
          <w:szCs w:val="17"/>
          <w:color w:val="auto"/>
        </w:rPr>
        <w:t xml:space="preserve">Emerging growth company </w:t>
      </w:r>
      <w:r>
        <w:rPr>
          <w:rFonts w:ascii="MS PGothic" w:cs="MS PGothic" w:eastAsia="MS PGothic" w:hAnsi="MS PGothic"/>
          <w:sz w:val="17"/>
          <w:szCs w:val="17"/>
          <w:color w:val="auto"/>
        </w:rPr>
        <w:t>☐</w:t>
      </w:r>
    </w:p>
    <w:p>
      <w:pPr>
        <w:spacing w:after="0" w:line="150" w:lineRule="exact"/>
        <w:rPr>
          <w:sz w:val="24"/>
          <w:szCs w:val="24"/>
          <w:color w:val="auto"/>
        </w:rPr>
      </w:pPr>
    </w:p>
    <w:p>
      <w:pPr>
        <w:ind w:firstLine="307"/>
        <w:spacing w:after="0" w:line="227" w:lineRule="exact"/>
        <w:rPr>
          <w:sz w:val="20"/>
          <w:szCs w:val="20"/>
          <w:color w:val="auto"/>
        </w:rPr>
      </w:pPr>
      <w:r>
        <w:rPr>
          <w:rFonts w:ascii="Times New Roman" w:cs="Times New Roman" w:eastAsia="Times New Roman" w:hAnsi="Times New Roman"/>
          <w:sz w:val="17"/>
          <w:szCs w:val="17"/>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-10795</wp:posOffset>
            </wp:positionH>
            <wp:positionV relativeFrom="paragraph">
              <wp:posOffset>636905</wp:posOffset>
            </wp:positionV>
            <wp:extent cx="7164705" cy="4191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64705" cy="41910"/>
                    </a:xfrm>
                    <a:prstGeom prst="rect">
                      <a:avLst/>
                    </a:prstGeom>
                    <a:noFill/>
                  </pic:spPr>
                </pic:pic>
              </a:graphicData>
            </a:graphic>
          </wp:anchor>
        </w:drawing>
      </w:r>
    </w:p>
    <w:p>
      <w:pPr>
        <w:sectPr>
          <w:pgSz w:w="11900" w:h="16838" w:orient="portrait"/>
          <w:cols w:equalWidth="0" w:num="1">
            <w:col w:w="11240"/>
          </w:cols>
          <w:pgMar w:left="320" w:top="1145" w:right="33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20"/>
          <w:szCs w:val="20"/>
          <w:b w:val="1"/>
          <w:bCs w:val="1"/>
          <w:color w:val="auto"/>
        </w:rPr>
        <w:t>Item 2.02. Results of Operations and Financial Condition</w:t>
      </w:r>
    </w:p>
    <w:p>
      <w:pPr>
        <w:spacing w:after="0" w:line="218" w:lineRule="exact"/>
        <w:rPr>
          <w:sz w:val="20"/>
          <w:szCs w:val="20"/>
          <w:color w:val="auto"/>
        </w:rPr>
      </w:pPr>
    </w:p>
    <w:p>
      <w:pPr>
        <w:jc w:val="both"/>
        <w:ind w:firstLine="307"/>
        <w:spacing w:after="0" w:line="284" w:lineRule="auto"/>
        <w:rPr>
          <w:sz w:val="20"/>
          <w:szCs w:val="20"/>
          <w:color w:val="auto"/>
        </w:rPr>
      </w:pPr>
      <w:r>
        <w:rPr>
          <w:rFonts w:ascii="Times New Roman" w:cs="Times New Roman" w:eastAsia="Times New Roman" w:hAnsi="Times New Roman"/>
          <w:sz w:val="17"/>
          <w:szCs w:val="17"/>
          <w:color w:val="auto"/>
        </w:rPr>
        <w:t>On October 29, 2026, World Kinect Corporation issued a press release reporting its financial results for the third quarter of 2026. A copy of the press release is attached as Exhibit 99.1 to this Current Report on Form 8-K and is incorporated by reference herein.</w:t>
      </w:r>
    </w:p>
    <w:p>
      <w:pPr>
        <w:spacing w:after="0" w:line="50" w:lineRule="exact"/>
        <w:rPr>
          <w:sz w:val="20"/>
          <w:szCs w:val="20"/>
          <w:color w:val="auto"/>
        </w:rPr>
      </w:pPr>
    </w:p>
    <w:p>
      <w:pPr>
        <w:jc w:val="both"/>
        <w:ind w:firstLine="307"/>
        <w:spacing w:after="0" w:line="267" w:lineRule="auto"/>
        <w:rPr>
          <w:sz w:val="20"/>
          <w:szCs w:val="20"/>
          <w:color w:val="auto"/>
        </w:rPr>
      </w:pPr>
      <w:r>
        <w:rPr>
          <w:rFonts w:ascii="Times New Roman" w:cs="Times New Roman" w:eastAsia="Times New Roman" w:hAnsi="Times New Roman"/>
          <w:sz w:val="17"/>
          <w:szCs w:val="17"/>
          <w:color w:val="auto"/>
        </w:rPr>
        <w:t>This information and the information contained in Exhibit 99.1 shall not be deemed "filed" for purposes of Section 18 of the Securities Exchange Act of 1934, as amended (the "Exchange Act"), or incorporated by reference in any filing under the Securities Act of 1933, as amended, or the Exchange Act, except as may be expressly set forth by specific reference in any such filing.</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9.01. Financial Statements and Exhibits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1560" w:type="dxa"/>
            <w:vAlign w:val="bottom"/>
            <w:gridSpan w:val="4"/>
          </w:tcPr>
          <w:p>
            <w:pPr>
              <w:ind w:left="300"/>
              <w:spacing w:after="0"/>
              <w:rPr>
                <w:sz w:val="20"/>
                <w:szCs w:val="20"/>
                <w:color w:val="auto"/>
              </w:rPr>
            </w:pPr>
            <w:r>
              <w:rPr>
                <w:rFonts w:ascii="Times New Roman" w:cs="Times New Roman" w:eastAsia="Times New Roman" w:hAnsi="Times New Roman"/>
                <w:sz w:val="17"/>
                <w:szCs w:val="17"/>
                <w:color w:val="auto"/>
              </w:rPr>
              <w:t>(d) Exhibits</w:t>
            </w:r>
          </w:p>
        </w:tc>
        <w:tc>
          <w:tcPr>
            <w:tcW w:w="4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440" w:type="dxa"/>
            <w:vAlign w:val="bottom"/>
          </w:tcPr>
          <w:p>
            <w:pPr>
              <w:spacing w:after="0"/>
              <w:rPr>
                <w:sz w:val="19"/>
                <w:szCs w:val="19"/>
                <w:color w:val="auto"/>
              </w:rPr>
            </w:pPr>
          </w:p>
        </w:tc>
      </w:tr>
      <w:tr>
        <w:trPr>
          <w:trHeight w:val="319"/>
        </w:trPr>
        <w:tc>
          <w:tcPr>
            <w:tcW w:w="320" w:type="dxa"/>
            <w:vAlign w:val="bottom"/>
          </w:tcPr>
          <w:p>
            <w:pPr>
              <w:spacing w:after="0"/>
              <w:rPr>
                <w:sz w:val="24"/>
                <w:szCs w:val="24"/>
                <w:color w:val="auto"/>
              </w:rPr>
            </w:pPr>
          </w:p>
        </w:tc>
        <w:tc>
          <w:tcPr>
            <w:tcW w:w="1240" w:type="dxa"/>
            <w:vAlign w:val="bottom"/>
            <w:gridSpan w:val="3"/>
          </w:tcPr>
          <w:p>
            <w:pPr>
              <w:spacing w:after="0"/>
              <w:rPr>
                <w:sz w:val="20"/>
                <w:szCs w:val="20"/>
                <w:color w:val="auto"/>
              </w:rPr>
            </w:pPr>
            <w:r>
              <w:rPr>
                <w:rFonts w:ascii="Times New Roman" w:cs="Times New Roman" w:eastAsia="Times New Roman" w:hAnsi="Times New Roman"/>
                <w:sz w:val="17"/>
                <w:szCs w:val="17"/>
                <w:b w:val="1"/>
                <w:bCs w:val="1"/>
                <w:color w:val="auto"/>
              </w:rPr>
              <w:t>Exhibit No.</w:t>
            </w:r>
          </w:p>
        </w:tc>
        <w:tc>
          <w:tcPr>
            <w:tcW w:w="9680" w:type="dxa"/>
            <w:vAlign w:val="bottom"/>
            <w:gridSpan w:val="3"/>
          </w:tcPr>
          <w:p>
            <w:pPr>
              <w:ind w:left="400"/>
              <w:spacing w:after="0"/>
              <w:rPr>
                <w:sz w:val="20"/>
                <w:szCs w:val="20"/>
                <w:color w:val="auto"/>
              </w:rPr>
            </w:pPr>
            <w:r>
              <w:rPr>
                <w:rFonts w:ascii="Times New Roman" w:cs="Times New Roman" w:eastAsia="Times New Roman" w:hAnsi="Times New Roman"/>
                <w:sz w:val="17"/>
                <w:szCs w:val="17"/>
                <w:b w:val="1"/>
                <w:bCs w:val="1"/>
                <w:color w:val="auto"/>
              </w:rPr>
              <w:t>Description</w:t>
            </w:r>
          </w:p>
        </w:tc>
      </w:tr>
      <w:tr>
        <w:trPr>
          <w:trHeight w:val="20"/>
        </w:trPr>
        <w:tc>
          <w:tcPr>
            <w:tcW w:w="32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8440" w:type="dxa"/>
            <w:vAlign w:val="bottom"/>
          </w:tcPr>
          <w:p>
            <w:pPr>
              <w:spacing w:after="0" w:line="20" w:lineRule="exact"/>
              <w:rPr>
                <w:sz w:val="1"/>
                <w:szCs w:val="1"/>
                <w:color w:val="auto"/>
              </w:rPr>
            </w:pPr>
          </w:p>
        </w:tc>
      </w:tr>
      <w:tr>
        <w:trPr>
          <w:trHeight w:val="210"/>
        </w:trPr>
        <w:tc>
          <w:tcPr>
            <w:tcW w:w="320" w:type="dxa"/>
            <w:vAlign w:val="bottom"/>
          </w:tcPr>
          <w:p>
            <w:pPr>
              <w:spacing w:after="0"/>
              <w:rPr>
                <w:sz w:val="18"/>
                <w:szCs w:val="18"/>
                <w:color w:val="auto"/>
              </w:rPr>
            </w:pPr>
          </w:p>
        </w:tc>
        <w:tc>
          <w:tcPr>
            <w:tcW w:w="84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99.</w:t>
            </w:r>
            <w:r>
              <w:rPr>
                <w:rFonts w:ascii="Times New Roman" w:cs="Times New Roman" w:eastAsia="Times New Roman" w:hAnsi="Times New Roman"/>
                <w:sz w:val="17"/>
                <w:szCs w:val="17"/>
                <w:u w:val="single" w:color="auto"/>
                <w:color w:val="0000FF"/>
              </w:rPr>
              <w:t>1</w:t>
            </w:r>
          </w:p>
        </w:tc>
        <w:tc>
          <w:tcPr>
            <w:tcW w:w="4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2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Press release of World Kinect Corporation, dated October 29, 2026</w:t>
            </w:r>
          </w:p>
        </w:tc>
      </w:tr>
      <w:tr>
        <w:trPr>
          <w:trHeight w:val="250"/>
        </w:trPr>
        <w:tc>
          <w:tcPr>
            <w:tcW w:w="320" w:type="dxa"/>
            <w:vAlign w:val="bottom"/>
          </w:tcPr>
          <w:p>
            <w:pPr>
              <w:spacing w:after="0"/>
              <w:rPr>
                <w:sz w:val="21"/>
                <w:szCs w:val="21"/>
                <w:color w:val="auto"/>
              </w:rPr>
            </w:pPr>
          </w:p>
        </w:tc>
        <w:tc>
          <w:tcPr>
            <w:tcW w:w="300" w:type="dxa"/>
            <w:vAlign w:val="bottom"/>
            <w:tcBorders>
              <w:top w:val="single" w:sz="8" w:color="0000FF"/>
            </w:tcBorders>
          </w:tcPr>
          <w:p>
            <w:pPr>
              <w:spacing w:after="0"/>
              <w:rPr>
                <w:sz w:val="20"/>
                <w:szCs w:val="20"/>
                <w:color w:val="auto"/>
              </w:rPr>
            </w:pPr>
            <w:r>
              <w:rPr>
                <w:rFonts w:ascii="Times New Roman" w:cs="Times New Roman" w:eastAsia="Times New Roman" w:hAnsi="Times New Roman"/>
                <w:sz w:val="17"/>
                <w:szCs w:val="17"/>
                <w:color w:val="auto"/>
              </w:rPr>
              <w:t>104</w:t>
            </w:r>
          </w:p>
        </w:tc>
        <w:tc>
          <w:tcPr>
            <w:tcW w:w="5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680" w:type="dxa"/>
            <w:vAlign w:val="bottom"/>
            <w:gridSpan w:val="3"/>
          </w:tcPr>
          <w:p>
            <w:pPr>
              <w:ind w:left="400"/>
              <w:spacing w:after="0"/>
              <w:rPr>
                <w:sz w:val="20"/>
                <w:szCs w:val="20"/>
                <w:color w:val="auto"/>
              </w:rPr>
            </w:pPr>
            <w:r>
              <w:rPr>
                <w:rFonts w:ascii="Times New Roman" w:cs="Times New Roman" w:eastAsia="Times New Roman" w:hAnsi="Times New Roman"/>
                <w:sz w:val="17"/>
                <w:szCs w:val="17"/>
                <w:color w:val="auto"/>
              </w:rPr>
              <w:t>Cover Page Interactive Data File, formatted in inline XBRL</w:t>
            </w:r>
          </w:p>
        </w:tc>
      </w:tr>
      <w:tr>
        <w:trPr>
          <w:trHeight w:val="1362"/>
        </w:trPr>
        <w:tc>
          <w:tcPr>
            <w:tcW w:w="32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84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7120255</wp:posOffset>
            </wp:positionH>
            <wp:positionV relativeFrom="paragraph">
              <wp:posOffset>-28575</wp:posOffset>
            </wp:positionV>
            <wp:extent cx="33655" cy="4191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-10795</wp:posOffset>
            </wp:positionH>
            <wp:positionV relativeFrom="paragraph">
              <wp:posOffset>-28575</wp:posOffset>
            </wp:positionV>
            <wp:extent cx="33655" cy="4191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160" w:right="339" w:bottom="1440" w:gutter="0" w:footer="0" w:header="0"/>
        </w:sectPr>
      </w:pPr>
    </w:p>
    <w:bookmarkStart w:id="2" w:name="page3"/>
    <w:bookmarkEnd w:id="2"/>
    <w:p>
      <w:pPr>
        <w:jc w:val="center"/>
        <w:ind w:right="-319"/>
        <w:spacing w:after="0"/>
        <w:rPr>
          <w:sz w:val="20"/>
          <w:szCs w:val="20"/>
          <w:color w:val="auto"/>
        </w:rPr>
      </w:pPr>
      <w:r>
        <w:rPr>
          <w:rFonts w:ascii="Times New Roman" w:cs="Times New Roman" w:eastAsia="Times New Roman" w:hAnsi="Times New Roman"/>
          <w:sz w:val="20"/>
          <w:szCs w:val="20"/>
          <w:b w:val="1"/>
          <w:bCs w:val="1"/>
          <w:color w:val="auto"/>
        </w:rPr>
        <w:t>SIGNATURES</w:t>
      </w:r>
    </w:p>
    <w:p>
      <w:pPr>
        <w:spacing w:after="0" w:line="200" w:lineRule="exact"/>
        <w:rPr>
          <w:sz w:val="20"/>
          <w:szCs w:val="20"/>
          <w:color w:val="auto"/>
        </w:rPr>
      </w:pPr>
    </w:p>
    <w:p>
      <w:pPr>
        <w:spacing w:after="0" w:line="223" w:lineRule="exact"/>
        <w:rPr>
          <w:sz w:val="20"/>
          <w:szCs w:val="20"/>
          <w:color w:val="auto"/>
        </w:rPr>
      </w:pPr>
    </w:p>
    <w:p>
      <w:pPr>
        <w:ind w:firstLine="307"/>
        <w:spacing w:after="0" w:line="284" w:lineRule="auto"/>
        <w:rPr>
          <w:sz w:val="20"/>
          <w:szCs w:val="20"/>
          <w:color w:val="auto"/>
        </w:rPr>
      </w:pPr>
      <w:r>
        <w:rPr>
          <w:rFonts w:ascii="Times New Roman" w:cs="Times New Roman" w:eastAsia="Times New Roman" w:hAnsi="Times New Roman"/>
          <w:sz w:val="17"/>
          <w:szCs w:val="17"/>
          <w:color w:val="auto"/>
        </w:rPr>
        <w:t>Pursuant to the requirements of the Securities Exchange Act of 1934, the registrant has duly caused this report to be signed on its behalf by the undersigned, thereunto duly authorized.</w:t>
      </w:r>
    </w:p>
    <w:p>
      <w:pPr>
        <w:spacing w:after="0" w:line="161" w:lineRule="exact"/>
        <w:rPr>
          <w:sz w:val="20"/>
          <w:szCs w:val="20"/>
          <w:color w:val="auto"/>
        </w:rPr>
      </w:pPr>
    </w:p>
    <w:p>
      <w:pPr>
        <w:ind w:left="320"/>
        <w:spacing w:after="0"/>
        <w:tabs>
          <w:tab w:leader="none" w:pos="4700" w:val="left"/>
        </w:tabs>
        <w:rPr>
          <w:sz w:val="20"/>
          <w:szCs w:val="20"/>
          <w:color w:val="auto"/>
        </w:rPr>
      </w:pPr>
      <w:r>
        <w:rPr>
          <w:rFonts w:ascii="Times New Roman" w:cs="Times New Roman" w:eastAsia="Times New Roman" w:hAnsi="Times New Roman"/>
          <w:sz w:val="17"/>
          <w:szCs w:val="17"/>
          <w:color w:val="auto"/>
        </w:rPr>
        <w:t>Date: October 29, 2026</w:t>
      </w:r>
      <w:r>
        <w:rPr>
          <w:sz w:val="20"/>
          <w:szCs w:val="20"/>
          <w:color w:val="auto"/>
        </w:rPr>
        <w:tab/>
      </w:r>
      <w:r>
        <w:rPr>
          <w:rFonts w:ascii="Times New Roman" w:cs="Times New Roman" w:eastAsia="Times New Roman" w:hAnsi="Times New Roman"/>
          <w:sz w:val="16"/>
          <w:szCs w:val="16"/>
          <w:b w:val="1"/>
          <w:bCs w:val="1"/>
          <w:color w:val="auto"/>
        </w:rPr>
        <w:t>World Kinect Corporation</w:t>
      </w:r>
    </w:p>
    <w:p>
      <w:pPr>
        <w:spacing w:after="0" w:line="103" w:lineRule="exact"/>
        <w:rPr>
          <w:sz w:val="20"/>
          <w:szCs w:val="20"/>
          <w:color w:val="auto"/>
        </w:rPr>
      </w:pPr>
    </w:p>
    <w:p>
      <w:pPr>
        <w:ind w:left="4720"/>
        <w:spacing w:after="0"/>
        <w:rPr>
          <w:sz w:val="20"/>
          <w:szCs w:val="20"/>
          <w:color w:val="auto"/>
        </w:rPr>
      </w:pPr>
      <w:r>
        <w:rPr>
          <w:rFonts w:ascii="Times New Roman" w:cs="Times New Roman" w:eastAsia="Times New Roman" w:hAnsi="Times New Roman"/>
          <w:sz w:val="17"/>
          <w:szCs w:val="17"/>
          <w:color w:val="auto"/>
        </w:rPr>
        <w:t>/s/ Jose-Miguel Tejada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2985770</wp:posOffset>
            </wp:positionH>
            <wp:positionV relativeFrom="paragraph">
              <wp:posOffset>16510</wp:posOffset>
            </wp:positionV>
            <wp:extent cx="347218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472180" cy="8255"/>
                    </a:xfrm>
                    <a:prstGeom prst="rect">
                      <a:avLst/>
                    </a:prstGeom>
                    <a:noFill/>
                  </pic:spPr>
                </pic:pic>
              </a:graphicData>
            </a:graphic>
          </wp:anchor>
        </w:drawing>
      </w:r>
    </w:p>
    <w:p>
      <w:pPr>
        <w:spacing w:after="0" w:line="28" w:lineRule="exact"/>
        <w:rPr>
          <w:sz w:val="20"/>
          <w:szCs w:val="20"/>
          <w:color w:val="auto"/>
        </w:rPr>
      </w:pPr>
    </w:p>
    <w:p>
      <w:pPr>
        <w:ind w:left="4720"/>
        <w:spacing w:after="0"/>
        <w:rPr>
          <w:sz w:val="20"/>
          <w:szCs w:val="20"/>
          <w:color w:val="auto"/>
        </w:rPr>
      </w:pPr>
      <w:r>
        <w:rPr>
          <w:rFonts w:ascii="Times New Roman" w:cs="Times New Roman" w:eastAsia="Times New Roman" w:hAnsi="Times New Roman"/>
          <w:sz w:val="17"/>
          <w:szCs w:val="17"/>
          <w:color w:val="auto"/>
        </w:rPr>
        <w:t>Jose-Miguel Tejada</w:t>
      </w:r>
    </w:p>
    <w:p>
      <w:pPr>
        <w:spacing w:after="0" w:line="35" w:lineRule="exact"/>
        <w:rPr>
          <w:sz w:val="20"/>
          <w:szCs w:val="20"/>
          <w:color w:val="auto"/>
        </w:rPr>
      </w:pPr>
    </w:p>
    <w:p>
      <w:pPr>
        <w:ind w:left="4720"/>
        <w:spacing w:after="0"/>
        <w:rPr>
          <w:sz w:val="20"/>
          <w:szCs w:val="20"/>
          <w:color w:val="auto"/>
        </w:rPr>
      </w:pPr>
      <w:r>
        <w:rPr>
          <w:rFonts w:ascii="Times New Roman" w:cs="Times New Roman" w:eastAsia="Times New Roman" w:hAnsi="Times New Roman"/>
          <w:sz w:val="17"/>
          <w:szCs w:val="17"/>
          <w:color w:val="auto"/>
        </w:rPr>
        <w:t>Executive Vice President and Chief Financial Officer</w:t>
      </w:r>
    </w:p>
    <w:p>
      <w:pPr>
        <w:sectPr>
          <w:pgSz w:w="11900" w:h="16838" w:orient="portrait"/>
          <w:cols w:equalWidth="0" w:num="1">
            <w:col w:w="11240"/>
          </w:cols>
          <w:pgMar w:left="320" w:top="1058" w:right="3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20"/>
          <w:szCs w:val="20"/>
          <w:b w:val="1"/>
          <w:bCs w:val="1"/>
          <w:color w:val="auto"/>
        </w:rPr>
        <w:t>Exhibit 99.1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4"/>
          <w:szCs w:val="24"/>
          <w:b w:val="1"/>
          <w:bCs w:val="1"/>
          <w:color w:val="auto"/>
        </w:rPr>
        <w:t>World Kinect Corporation Reports Third Quarter 2026 Results</w:t>
      </w:r>
    </w:p>
    <w:p>
      <w:pPr>
        <w:spacing w:after="0" w:line="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i w:val="1"/>
          <w:iCs w:val="1"/>
          <w:color w:val="auto"/>
        </w:rPr>
        <w:t>Delivers Strong Third Quarter Results and Raises Fiscal Year 2026 Guidance</w:t>
      </w:r>
    </w:p>
    <w:p>
      <w:pPr>
        <w:spacing w:after="0" w:line="200" w:lineRule="exact"/>
        <w:rPr>
          <w:sz w:val="20"/>
          <w:szCs w:val="20"/>
          <w:color w:val="auto"/>
        </w:rPr>
      </w:pPr>
    </w:p>
    <w:p>
      <w:pPr>
        <w:spacing w:after="0" w:line="206"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9"/>
          <w:szCs w:val="19"/>
          <w:color w:val="auto"/>
        </w:rPr>
        <w:t>MIAMI—October 29, 2026—World Kinect Corporation (NYSE: WKC), operating as World Fuel, today reported financial results for the third quarter of 2026.</w:t>
      </w:r>
    </w:p>
    <w:p>
      <w:pPr>
        <w:spacing w:after="0" w:line="37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u w:val="single" w:color="auto"/>
          <w:color w:val="auto"/>
        </w:rPr>
        <w:t>Third Quarter 2026 Highlights</w:t>
      </w:r>
    </w:p>
    <w:p>
      <w:pPr>
        <w:spacing w:after="0" w:line="221" w:lineRule="exact"/>
        <w:rPr>
          <w:sz w:val="20"/>
          <w:szCs w:val="20"/>
          <w:color w:val="auto"/>
        </w:rPr>
      </w:pPr>
    </w:p>
    <w:p>
      <w:pPr>
        <w:ind w:left="600" w:hanging="290"/>
        <w:spacing w:after="0"/>
        <w:tabs>
          <w:tab w:leader="none" w:pos="600" w:val="left"/>
        </w:tabs>
        <w:numPr>
          <w:ilvl w:val="0"/>
          <w:numId w:val="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Gross profit of $288 million</w:t>
      </w:r>
    </w:p>
    <w:p>
      <w:pPr>
        <w:spacing w:after="0" w:line="19" w:lineRule="exact"/>
        <w:rPr>
          <w:rFonts w:ascii="Times New Roman" w:cs="Times New Roman" w:eastAsia="Times New Roman" w:hAnsi="Times New Roman"/>
          <w:sz w:val="19"/>
          <w:szCs w:val="19"/>
          <w:color w:val="auto"/>
        </w:rPr>
      </w:pPr>
    </w:p>
    <w:p>
      <w:pPr>
        <w:ind w:left="600" w:hanging="290"/>
        <w:spacing w:after="0"/>
        <w:tabs>
          <w:tab w:leader="none" w:pos="600" w:val="left"/>
        </w:tabs>
        <w:numPr>
          <w:ilvl w:val="0"/>
          <w:numId w:val="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Adjusted gross profit of $279 million</w:t>
      </w:r>
    </w:p>
    <w:p>
      <w:pPr>
        <w:spacing w:after="0" w:line="4" w:lineRule="exact"/>
        <w:rPr>
          <w:rFonts w:ascii="Times New Roman" w:cs="Times New Roman" w:eastAsia="Times New Roman" w:hAnsi="Times New Roman"/>
          <w:sz w:val="19"/>
          <w:szCs w:val="19"/>
          <w:color w:val="auto"/>
        </w:rPr>
      </w:pPr>
    </w:p>
    <w:p>
      <w:pPr>
        <w:ind w:left="600" w:hanging="290"/>
        <w:spacing w:after="0"/>
        <w:tabs>
          <w:tab w:leader="none" w:pos="600" w:val="left"/>
        </w:tabs>
        <w:numPr>
          <w:ilvl w:val="0"/>
          <w:numId w:val="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GAAP net income of $38 million, or $0.70 per diluted share</w:t>
      </w:r>
    </w:p>
    <w:p>
      <w:pPr>
        <w:spacing w:after="0" w:line="6" w:lineRule="exact"/>
        <w:rPr>
          <w:rFonts w:ascii="Times New Roman" w:cs="Times New Roman" w:eastAsia="Times New Roman" w:hAnsi="Times New Roman"/>
          <w:sz w:val="19"/>
          <w:szCs w:val="19"/>
          <w:color w:val="auto"/>
        </w:rPr>
      </w:pPr>
    </w:p>
    <w:p>
      <w:pPr>
        <w:ind w:left="600" w:hanging="290"/>
        <w:spacing w:after="0"/>
        <w:tabs>
          <w:tab w:leader="none" w:pos="600" w:val="left"/>
        </w:tabs>
        <w:numPr>
          <w:ilvl w:val="0"/>
          <w:numId w:val="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Adjusted net income of $51 million, or $0.99 per diluted share</w:t>
      </w:r>
    </w:p>
    <w:p>
      <w:pPr>
        <w:spacing w:after="0" w:line="4" w:lineRule="exact"/>
        <w:rPr>
          <w:rFonts w:ascii="Times New Roman" w:cs="Times New Roman" w:eastAsia="Times New Roman" w:hAnsi="Times New Roman"/>
          <w:sz w:val="19"/>
          <w:szCs w:val="19"/>
          <w:color w:val="auto"/>
        </w:rPr>
      </w:pPr>
    </w:p>
    <w:p>
      <w:pPr>
        <w:ind w:left="600" w:hanging="290"/>
        <w:spacing w:after="0"/>
        <w:tabs>
          <w:tab w:leader="none" w:pos="600" w:val="left"/>
        </w:tabs>
        <w:numPr>
          <w:ilvl w:val="0"/>
          <w:numId w:val="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Adjusted EBITDA of $127 million</w:t>
      </w:r>
    </w:p>
    <w:p>
      <w:pPr>
        <w:spacing w:after="0" w:line="12" w:lineRule="exact"/>
        <w:rPr>
          <w:rFonts w:ascii="Times New Roman" w:cs="Times New Roman" w:eastAsia="Times New Roman" w:hAnsi="Times New Roman"/>
          <w:sz w:val="19"/>
          <w:szCs w:val="19"/>
          <w:color w:val="auto"/>
        </w:rPr>
      </w:pPr>
    </w:p>
    <w:p>
      <w:pPr>
        <w:ind w:left="600" w:hanging="290"/>
        <w:spacing w:after="0"/>
        <w:tabs>
          <w:tab w:leader="none" w:pos="600" w:val="left"/>
        </w:tabs>
        <w:numPr>
          <w:ilvl w:val="0"/>
          <w:numId w:val="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Operating cash flow of $175 million and free cash flow of $164 million</w:t>
      </w: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u w:val="single" w:color="auto"/>
          <w:color w:val="auto"/>
        </w:rPr>
        <w:t>Reportable Segment Year-Over-Year Highlights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u w:val="single" w:color="auto"/>
          <w:color w:val="auto"/>
        </w:rPr>
        <w:t>Aviation Segment</w:t>
      </w:r>
    </w:p>
    <w:p>
      <w:pPr>
        <w:spacing w:after="0" w:line="114" w:lineRule="exact"/>
        <w:rPr>
          <w:sz w:val="20"/>
          <w:szCs w:val="20"/>
          <w:color w:val="auto"/>
        </w:rPr>
      </w:pPr>
    </w:p>
    <w:p>
      <w:pPr>
        <w:jc w:val="both"/>
        <w:ind w:left="620" w:hanging="310"/>
        <w:spacing w:after="0" w:line="246" w:lineRule="auto"/>
        <w:tabs>
          <w:tab w:leader="none" w:pos="615"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19"/>
          <w:szCs w:val="19"/>
          <w:color w:val="auto"/>
        </w:rPr>
        <w:t>Third quarter 2026 gross profit was $148 million, an increase of 4%, primarily attributable to the contribution from the Universal Trip Support Services acquisition that closed in the fourth quarter of 2025 and growth in our core commercial fuel business, principally in Europe and Latin America.</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u w:val="single" w:color="auto"/>
          <w:color w:val="auto"/>
        </w:rPr>
        <w:t>Marine Segment</w:t>
      </w:r>
    </w:p>
    <w:p>
      <w:pPr>
        <w:spacing w:after="0" w:line="127" w:lineRule="exact"/>
        <w:rPr>
          <w:sz w:val="20"/>
          <w:szCs w:val="20"/>
          <w:color w:val="auto"/>
        </w:rPr>
      </w:pPr>
    </w:p>
    <w:p>
      <w:pPr>
        <w:ind w:left="620" w:hanging="310"/>
        <w:spacing w:after="0" w:line="253" w:lineRule="auto"/>
        <w:tabs>
          <w:tab w:leader="none" w:pos="615"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19"/>
          <w:szCs w:val="19"/>
          <w:color w:val="auto"/>
        </w:rPr>
        <w:t>Third quarter 2026 gross profit was $59 million, an increase of 131%, primarily driven by higher profit contribution from our core resale business and certain physical locations, which continue to benefit from increased bunker fuel prices and global supply dynamics.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u w:val="single" w:color="auto"/>
          <w:color w:val="auto"/>
        </w:rPr>
        <w:t>Land Segment</w:t>
      </w:r>
    </w:p>
    <w:p>
      <w:pPr>
        <w:spacing w:after="0" w:line="217" w:lineRule="exact"/>
        <w:rPr>
          <w:sz w:val="20"/>
          <w:szCs w:val="20"/>
          <w:color w:val="auto"/>
        </w:rPr>
      </w:pPr>
    </w:p>
    <w:p>
      <w:pPr>
        <w:jc w:val="both"/>
        <w:ind w:left="620" w:hanging="310"/>
        <w:spacing w:after="0" w:line="259" w:lineRule="auto"/>
        <w:tabs>
          <w:tab w:leader="none" w:pos="609" w:val="left"/>
        </w:tabs>
        <w:numPr>
          <w:ilvl w:val="0"/>
          <w:numId w:val="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Third quarter 2026 gross profit was $81 million and income from operations was $28 million. Land Adjusted income from operations increased 102% year-over-year, principally reflecting the benefits of our land portfolio transformation and higher contribution from our retail and cardlock operations.</w:t>
      </w:r>
    </w:p>
    <w:p>
      <w:pPr>
        <w:spacing w:after="0" w:line="240"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9"/>
          <w:szCs w:val="19"/>
          <w:color w:val="auto"/>
        </w:rPr>
        <w:t>"We delivered another strong quarter, supported by healthy fundamentals in Aviation, strong performance in Marine and continued progress in Land," said Ira M. Birns, Chief Executive Officer. "The actions we have taken to reshape the company are creating a stronger, more focused business, better positioned to deliver improved returns and profitable growth."</w:t>
      </w:r>
    </w:p>
    <w:p>
      <w:pPr>
        <w:spacing w:after="0" w:line="240"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9"/>
          <w:szCs w:val="19"/>
          <w:color w:val="auto"/>
        </w:rPr>
        <w:t>"Our third quarter results reflect strong execution across the business and continued improvement in Land," said Mike Tejada, Executive Vice President and Chief Financial Officer. "We generated $164 million of free cash flow during the quarter, further strengthening our financial flexibility to invest in the business and return capital to shareholders."</w:t>
      </w: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1</w:t>
      </w:r>
    </w:p>
    <w:p>
      <w:pPr>
        <w:sectPr>
          <w:pgSz w:w="11900" w:h="16838" w:orient="portrait"/>
          <w:cols w:equalWidth="0" w:num="1">
            <w:col w:w="11240"/>
          </w:cols>
          <w:pgMar w:left="320" w:top="123" w:right="339" w:bottom="1440" w:gutter="0" w:footer="0" w:header="0"/>
        </w:sectPr>
      </w:pPr>
    </w:p>
    <w:bookmarkStart w:id="4" w:name="page5"/>
    <w:bookmarkEnd w:id="4"/>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u w:val="single" w:color="auto"/>
          <w:color w:val="auto"/>
        </w:rPr>
        <w:t>2026 Outlook</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For the full year 2026, Adjusted EPS</w:t>
      </w:r>
      <w:r>
        <w:rPr>
          <w:rFonts w:ascii="Times New Roman" w:cs="Times New Roman" w:eastAsia="Times New Roman" w:hAnsi="Times New Roman"/>
          <w:sz w:val="24"/>
          <w:szCs w:val="24"/>
          <w:color w:val="auto"/>
          <w:vertAlign w:val="superscript"/>
        </w:rPr>
        <w:t>1</w:t>
      </w:r>
      <w:r>
        <w:rPr>
          <w:rFonts w:ascii="Times New Roman" w:cs="Times New Roman" w:eastAsia="Times New Roman" w:hAnsi="Times New Roman"/>
          <w:sz w:val="19"/>
          <w:szCs w:val="19"/>
          <w:color w:val="auto"/>
        </w:rPr>
        <w:t xml:space="preserve"> guidance increases to a range of $3.52 to $3.62 per share, from its prior range of $3.20 to $3.40 per share.</w:t>
      </w:r>
    </w:p>
    <w:p>
      <w:pPr>
        <w:spacing w:after="0" w:line="36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u w:val="single" w:color="auto"/>
          <w:color w:val="auto"/>
        </w:rPr>
        <w:t>Financial Summary</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(Unaudited - in millions, except per share data)</w:t>
      </w:r>
    </w:p>
    <w:p>
      <w:pPr>
        <w:spacing w:after="0" w:line="51"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40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3260" w:type="dxa"/>
            <w:vAlign w:val="bottom"/>
            <w:tcBorders>
              <w:bottom w:val="single" w:sz="8" w:color="auto"/>
            </w:tcBorders>
            <w:gridSpan w:val="6"/>
          </w:tcPr>
          <w:p>
            <w:pPr>
              <w:jc w:val="right"/>
              <w:ind w:right="335"/>
              <w:spacing w:after="0"/>
              <w:rPr>
                <w:sz w:val="20"/>
                <w:szCs w:val="20"/>
                <w:color w:val="auto"/>
              </w:rPr>
            </w:pPr>
            <w:r>
              <w:rPr>
                <w:rFonts w:ascii="Times New Roman" w:cs="Times New Roman" w:eastAsia="Times New Roman" w:hAnsi="Times New Roman"/>
                <w:sz w:val="17"/>
                <w:szCs w:val="17"/>
                <w:b w:val="1"/>
                <w:bCs w:val="1"/>
                <w:color w:val="auto"/>
              </w:rPr>
              <w:t>Three Months Ended September 30,</w:t>
            </w:r>
          </w:p>
        </w:tc>
        <w:tc>
          <w:tcPr>
            <w:tcW w:w="14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3280" w:type="dxa"/>
            <w:vAlign w:val="bottom"/>
            <w:tcBorders>
              <w:bottom w:val="single" w:sz="8" w:color="auto"/>
            </w:tcBorders>
            <w:gridSpan w:val="6"/>
          </w:tcPr>
          <w:p>
            <w:pPr>
              <w:jc w:val="right"/>
              <w:ind w:right="395"/>
              <w:spacing w:after="0"/>
              <w:rPr>
                <w:sz w:val="20"/>
                <w:szCs w:val="20"/>
                <w:color w:val="auto"/>
              </w:rPr>
            </w:pPr>
            <w:r>
              <w:rPr>
                <w:rFonts w:ascii="Times New Roman" w:cs="Times New Roman" w:eastAsia="Times New Roman" w:hAnsi="Times New Roman"/>
                <w:sz w:val="17"/>
                <w:szCs w:val="17"/>
                <w:b w:val="1"/>
                <w:bCs w:val="1"/>
                <w:color w:val="auto"/>
              </w:rPr>
              <w:t>Nine Months Ended September 30,</w:t>
            </w:r>
          </w:p>
        </w:tc>
      </w:tr>
      <w:tr>
        <w:trPr>
          <w:trHeight w:val="223"/>
        </w:trPr>
        <w:tc>
          <w:tcPr>
            <w:tcW w:w="40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jc w:val="right"/>
              <w:ind w:right="275"/>
              <w:spacing w:after="0"/>
              <w:rPr>
                <w:sz w:val="20"/>
                <w:szCs w:val="20"/>
                <w:color w:val="auto"/>
              </w:rPr>
            </w:pPr>
            <w:r>
              <w:rPr>
                <w:rFonts w:ascii="Times New Roman" w:cs="Times New Roman" w:eastAsia="Times New Roman" w:hAnsi="Times New Roman"/>
                <w:sz w:val="17"/>
                <w:szCs w:val="17"/>
                <w:b w:val="1"/>
                <w:bCs w:val="1"/>
                <w:color w:val="auto"/>
              </w:rPr>
              <w:t>2026</w:t>
            </w: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jc w:val="right"/>
              <w:ind w:right="275"/>
              <w:spacing w:after="0"/>
              <w:rPr>
                <w:sz w:val="20"/>
                <w:szCs w:val="20"/>
                <w:color w:val="auto"/>
              </w:rPr>
            </w:pPr>
            <w:r>
              <w:rPr>
                <w:rFonts w:ascii="Times New Roman" w:cs="Times New Roman" w:eastAsia="Times New Roman" w:hAnsi="Times New Roman"/>
                <w:sz w:val="17"/>
                <w:szCs w:val="17"/>
                <w:color w:val="auto"/>
              </w:rPr>
              <w:t>2025</w:t>
            </w:r>
          </w:p>
        </w:tc>
        <w:tc>
          <w:tcPr>
            <w:tcW w:w="160" w:type="dxa"/>
            <w:vAlign w:val="bottom"/>
          </w:tcPr>
          <w:p>
            <w:pPr>
              <w:spacing w:after="0"/>
              <w:rPr>
                <w:sz w:val="19"/>
                <w:szCs w:val="19"/>
                <w:color w:val="auto"/>
              </w:rPr>
            </w:pPr>
          </w:p>
        </w:tc>
        <w:tc>
          <w:tcPr>
            <w:tcW w:w="1200" w:type="dxa"/>
            <w:vAlign w:val="bottom"/>
            <w:gridSpan w:val="2"/>
          </w:tcPr>
          <w:p>
            <w:pPr>
              <w:ind w:left="260"/>
              <w:spacing w:after="0"/>
              <w:rPr>
                <w:sz w:val="20"/>
                <w:szCs w:val="20"/>
                <w:color w:val="auto"/>
              </w:rPr>
            </w:pPr>
            <w:r>
              <w:rPr>
                <w:rFonts w:ascii="Times New Roman" w:cs="Times New Roman" w:eastAsia="Times New Roman" w:hAnsi="Times New Roman"/>
                <w:sz w:val="17"/>
                <w:szCs w:val="17"/>
                <w:i w:val="1"/>
                <w:iCs w:val="1"/>
                <w:color w:val="auto"/>
              </w:rPr>
              <w:t>Change</w:t>
            </w:r>
          </w:p>
        </w:tc>
        <w:tc>
          <w:tcPr>
            <w:tcW w:w="240" w:type="dxa"/>
            <w:vAlign w:val="bottom"/>
          </w:tcPr>
          <w:p>
            <w:pPr>
              <w:spacing w:after="0"/>
              <w:rPr>
                <w:sz w:val="19"/>
                <w:szCs w:val="19"/>
                <w:color w:val="auto"/>
              </w:rPr>
            </w:pPr>
          </w:p>
        </w:tc>
        <w:tc>
          <w:tcPr>
            <w:tcW w:w="840" w:type="dxa"/>
            <w:vAlign w:val="bottom"/>
          </w:tcPr>
          <w:p>
            <w:pPr>
              <w:jc w:val="right"/>
              <w:ind w:right="295"/>
              <w:spacing w:after="0"/>
              <w:rPr>
                <w:sz w:val="20"/>
                <w:szCs w:val="20"/>
                <w:color w:val="auto"/>
              </w:rPr>
            </w:pPr>
            <w:r>
              <w:rPr>
                <w:rFonts w:ascii="Times New Roman" w:cs="Times New Roman" w:eastAsia="Times New Roman" w:hAnsi="Times New Roman"/>
                <w:sz w:val="17"/>
                <w:szCs w:val="17"/>
                <w:b w:val="1"/>
                <w:bCs w:val="1"/>
                <w:color w:val="auto"/>
              </w:rPr>
              <w:t>2026</w:t>
            </w: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jc w:val="right"/>
              <w:ind w:right="275"/>
              <w:spacing w:after="0"/>
              <w:rPr>
                <w:sz w:val="20"/>
                <w:szCs w:val="20"/>
                <w:color w:val="auto"/>
              </w:rPr>
            </w:pPr>
            <w:r>
              <w:rPr>
                <w:rFonts w:ascii="Times New Roman" w:cs="Times New Roman" w:eastAsia="Times New Roman" w:hAnsi="Times New Roman"/>
                <w:sz w:val="17"/>
                <w:szCs w:val="17"/>
                <w:color w:val="auto"/>
              </w:rPr>
              <w:t>2025</w:t>
            </w:r>
          </w:p>
        </w:tc>
        <w:tc>
          <w:tcPr>
            <w:tcW w:w="160" w:type="dxa"/>
            <w:vAlign w:val="bottom"/>
          </w:tcPr>
          <w:p>
            <w:pPr>
              <w:spacing w:after="0"/>
              <w:rPr>
                <w:sz w:val="19"/>
                <w:szCs w:val="19"/>
                <w:color w:val="auto"/>
              </w:rPr>
            </w:pPr>
          </w:p>
        </w:tc>
        <w:tc>
          <w:tcPr>
            <w:tcW w:w="1060" w:type="dxa"/>
            <w:vAlign w:val="bottom"/>
          </w:tcPr>
          <w:p>
            <w:pPr>
              <w:jc w:val="right"/>
              <w:ind w:right="175"/>
              <w:spacing w:after="0"/>
              <w:rPr>
                <w:sz w:val="20"/>
                <w:szCs w:val="20"/>
                <w:color w:val="auto"/>
              </w:rPr>
            </w:pPr>
            <w:r>
              <w:rPr>
                <w:rFonts w:ascii="Times New Roman" w:cs="Times New Roman" w:eastAsia="Times New Roman" w:hAnsi="Times New Roman"/>
                <w:sz w:val="17"/>
                <w:szCs w:val="17"/>
                <w:i w:val="1"/>
                <w:iCs w:val="1"/>
                <w:color w:val="auto"/>
              </w:rPr>
              <w:t>Change</w:t>
            </w:r>
          </w:p>
        </w:tc>
      </w:tr>
      <w:tr>
        <w:trPr>
          <w:trHeight w:val="223"/>
        </w:trPr>
        <w:tc>
          <w:tcPr>
            <w:tcW w:w="4020" w:type="dxa"/>
            <w:vAlign w:val="bottom"/>
            <w:tcBorders>
              <w:top w:val="single" w:sz="8" w:color="CCEEFF"/>
            </w:tcBorders>
            <w:shd w:val="clear" w:color="auto" w:fill="CCEEFF"/>
          </w:tcPr>
          <w:p>
            <w:pPr>
              <w:ind w:left="20"/>
              <w:spacing w:after="0" w:line="223" w:lineRule="exact"/>
              <w:rPr>
                <w:sz w:val="20"/>
                <w:szCs w:val="20"/>
                <w:color w:val="auto"/>
              </w:rPr>
            </w:pPr>
            <w:r>
              <w:rPr>
                <w:rFonts w:ascii="Times New Roman" w:cs="Times New Roman" w:eastAsia="Times New Roman" w:hAnsi="Times New Roman"/>
                <w:sz w:val="17"/>
                <w:szCs w:val="17"/>
                <w:color w:val="auto"/>
              </w:rPr>
              <w:t xml:space="preserve">Volume </w:t>
            </w:r>
            <w:r>
              <w:rPr>
                <w:rFonts w:ascii="Times New Roman" w:cs="Times New Roman" w:eastAsia="Times New Roman" w:hAnsi="Times New Roman"/>
                <w:sz w:val="22"/>
                <w:szCs w:val="22"/>
                <w:color w:val="auto"/>
                <w:vertAlign w:val="superscript"/>
              </w:rPr>
              <w:t>(1)</w:t>
            </w:r>
          </w:p>
        </w:tc>
        <w:tc>
          <w:tcPr>
            <w:tcW w:w="220" w:type="dxa"/>
            <w:vAlign w:val="bottom"/>
            <w:tcBorders>
              <w:top w:val="single" w:sz="8" w:color="auto"/>
            </w:tcBorders>
            <w:shd w:val="clear" w:color="auto" w:fill="CCEEFF"/>
          </w:tcPr>
          <w:p>
            <w:pPr>
              <w:spacing w:after="0"/>
              <w:rPr>
                <w:sz w:val="19"/>
                <w:szCs w:val="19"/>
                <w:color w:val="auto"/>
              </w:rPr>
            </w:pPr>
          </w:p>
        </w:tc>
        <w:tc>
          <w:tcPr>
            <w:tcW w:w="840" w:type="dxa"/>
            <w:vAlign w:val="bottom"/>
            <w:tcBorders>
              <w:top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b w:val="1"/>
                <w:bCs w:val="1"/>
                <w:color w:val="auto"/>
              </w:rPr>
              <w:t>4,038</w:t>
            </w:r>
          </w:p>
        </w:tc>
        <w:tc>
          <w:tcPr>
            <w:tcW w:w="14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820" w:type="dxa"/>
            <w:vAlign w:val="bottom"/>
            <w:tcBorders>
              <w:top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4,283</w:t>
            </w:r>
          </w:p>
        </w:tc>
        <w:tc>
          <w:tcPr>
            <w:tcW w:w="160" w:type="dxa"/>
            <w:vAlign w:val="bottom"/>
            <w:tcBorders>
              <w:top w:val="single" w:sz="8" w:color="CCEEFF"/>
            </w:tcBorders>
            <w:shd w:val="clear" w:color="auto" w:fill="CCEEFF"/>
          </w:tcPr>
          <w:p>
            <w:pPr>
              <w:spacing w:after="0"/>
              <w:rPr>
                <w:sz w:val="19"/>
                <w:szCs w:val="19"/>
                <w:color w:val="auto"/>
              </w:rPr>
            </w:pPr>
          </w:p>
        </w:tc>
        <w:tc>
          <w:tcPr>
            <w:tcW w:w="1060" w:type="dxa"/>
            <w:vAlign w:val="bottom"/>
            <w:tcBorders>
              <w:top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i w:val="1"/>
                <w:iCs w:val="1"/>
                <w:color w:val="auto"/>
              </w:rPr>
              <w:t>(6)%</w:t>
            </w:r>
          </w:p>
        </w:tc>
        <w:tc>
          <w:tcPr>
            <w:tcW w:w="14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840" w:type="dxa"/>
            <w:vAlign w:val="bottom"/>
            <w:tcBorders>
              <w:top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b w:val="1"/>
                <w:bCs w:val="1"/>
                <w:color w:val="auto"/>
              </w:rPr>
              <w:t>11,942</w:t>
            </w:r>
          </w:p>
        </w:tc>
        <w:tc>
          <w:tcPr>
            <w:tcW w:w="14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840" w:type="dxa"/>
            <w:vAlign w:val="bottom"/>
            <w:tcBorders>
              <w:top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rPr>
              <w:t>12,680</w:t>
            </w:r>
          </w:p>
        </w:tc>
        <w:tc>
          <w:tcPr>
            <w:tcW w:w="160" w:type="dxa"/>
            <w:vAlign w:val="bottom"/>
            <w:tcBorders>
              <w:top w:val="single" w:sz="8" w:color="CCEEFF"/>
            </w:tcBorders>
            <w:shd w:val="clear" w:color="auto" w:fill="CCEEFF"/>
          </w:tcPr>
          <w:p>
            <w:pPr>
              <w:spacing w:after="0"/>
              <w:rPr>
                <w:sz w:val="19"/>
                <w:szCs w:val="19"/>
                <w:color w:val="auto"/>
              </w:rPr>
            </w:pPr>
          </w:p>
        </w:tc>
        <w:tc>
          <w:tcPr>
            <w:tcW w:w="1060" w:type="dxa"/>
            <w:vAlign w:val="bottom"/>
            <w:tcBorders>
              <w:top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i w:val="1"/>
                <w:iCs w:val="1"/>
                <w:color w:val="auto"/>
              </w:rPr>
              <w:t>(6)%</w:t>
            </w:r>
          </w:p>
        </w:tc>
      </w:tr>
      <w:tr>
        <w:trPr>
          <w:trHeight w:val="230"/>
        </w:trPr>
        <w:tc>
          <w:tcPr>
            <w:tcW w:w="40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Revenue</w:t>
            </w:r>
          </w:p>
        </w:tc>
        <w:tc>
          <w:tcPr>
            <w:tcW w:w="220" w:type="dxa"/>
            <w:vAlign w:val="bottom"/>
          </w:tcPr>
          <w:p>
            <w:pPr>
              <w:jc w:val="right"/>
              <w:ind w:right="35"/>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840" w:type="dxa"/>
            <w:vAlign w:val="bottom"/>
          </w:tcPr>
          <w:p>
            <w:pPr>
              <w:jc w:val="right"/>
              <w:ind w:right="35"/>
              <w:spacing w:after="0"/>
              <w:rPr>
                <w:sz w:val="20"/>
                <w:szCs w:val="20"/>
                <w:color w:val="auto"/>
              </w:rPr>
            </w:pPr>
            <w:r>
              <w:rPr>
                <w:rFonts w:ascii="Times New Roman" w:cs="Times New Roman" w:eastAsia="Times New Roman" w:hAnsi="Times New Roman"/>
                <w:sz w:val="17"/>
                <w:szCs w:val="17"/>
                <w:b w:val="1"/>
                <w:bCs w:val="1"/>
                <w:color w:val="auto"/>
              </w:rPr>
              <w:t>13,271</w:t>
            </w:r>
          </w:p>
        </w:tc>
        <w:tc>
          <w:tcPr>
            <w:tcW w:w="140" w:type="dxa"/>
            <w:vAlign w:val="bottom"/>
          </w:tcPr>
          <w:p>
            <w:pPr>
              <w:spacing w:after="0"/>
              <w:rPr>
                <w:sz w:val="20"/>
                <w:szCs w:val="20"/>
                <w:color w:val="auto"/>
              </w:rPr>
            </w:pPr>
          </w:p>
        </w:tc>
        <w:tc>
          <w:tcPr>
            <w:tcW w:w="240" w:type="dxa"/>
            <w:vAlign w:val="bottom"/>
          </w:tcPr>
          <w:p>
            <w:pPr>
              <w:jc w:val="right"/>
              <w:ind w:right="55"/>
              <w:spacing w:after="0"/>
              <w:rPr>
                <w:sz w:val="20"/>
                <w:szCs w:val="20"/>
                <w:color w:val="auto"/>
              </w:rPr>
            </w:pPr>
            <w:r>
              <w:rPr>
                <w:rFonts w:ascii="Times New Roman" w:cs="Times New Roman" w:eastAsia="Times New Roman" w:hAnsi="Times New Roman"/>
                <w:sz w:val="17"/>
                <w:szCs w:val="17"/>
                <w:color w:val="auto"/>
                <w:w w:val="93"/>
              </w:rPr>
              <w:t>$</w:t>
            </w:r>
          </w:p>
        </w:tc>
        <w:tc>
          <w:tcPr>
            <w:tcW w:w="82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9,392</w:t>
            </w:r>
          </w:p>
        </w:tc>
        <w:tc>
          <w:tcPr>
            <w:tcW w:w="160" w:type="dxa"/>
            <w:vAlign w:val="bottom"/>
          </w:tcPr>
          <w:p>
            <w:pPr>
              <w:spacing w:after="0"/>
              <w:rPr>
                <w:sz w:val="20"/>
                <w:szCs w:val="20"/>
                <w:color w:val="auto"/>
              </w:rPr>
            </w:pPr>
          </w:p>
        </w:tc>
        <w:tc>
          <w:tcPr>
            <w:tcW w:w="1060" w:type="dxa"/>
            <w:vAlign w:val="bottom"/>
          </w:tcPr>
          <w:p>
            <w:pPr>
              <w:jc w:val="right"/>
              <w:ind w:right="35"/>
              <w:spacing w:after="0"/>
              <w:rPr>
                <w:sz w:val="20"/>
                <w:szCs w:val="20"/>
                <w:color w:val="auto"/>
              </w:rPr>
            </w:pPr>
            <w:r>
              <w:rPr>
                <w:rFonts w:ascii="Times New Roman" w:cs="Times New Roman" w:eastAsia="Times New Roman" w:hAnsi="Times New Roman"/>
                <w:sz w:val="17"/>
                <w:szCs w:val="17"/>
                <w:i w:val="1"/>
                <w:iCs w:val="1"/>
                <w:color w:val="auto"/>
              </w:rPr>
              <w:t>41%</w:t>
            </w:r>
          </w:p>
        </w:tc>
        <w:tc>
          <w:tcPr>
            <w:tcW w:w="140" w:type="dxa"/>
            <w:vAlign w:val="bottom"/>
          </w:tcPr>
          <w:p>
            <w:pPr>
              <w:spacing w:after="0"/>
              <w:rPr>
                <w:sz w:val="20"/>
                <w:szCs w:val="20"/>
                <w:color w:val="auto"/>
              </w:rPr>
            </w:pPr>
          </w:p>
        </w:tc>
        <w:tc>
          <w:tcPr>
            <w:tcW w:w="240" w:type="dxa"/>
            <w:vAlign w:val="bottom"/>
          </w:tcPr>
          <w:p>
            <w:pPr>
              <w:jc w:val="right"/>
              <w:ind w:right="55"/>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840" w:type="dxa"/>
            <w:vAlign w:val="bottom"/>
          </w:tcPr>
          <w:p>
            <w:pPr>
              <w:jc w:val="right"/>
              <w:ind w:right="35"/>
              <w:spacing w:after="0"/>
              <w:rPr>
                <w:sz w:val="20"/>
                <w:szCs w:val="20"/>
                <w:color w:val="auto"/>
              </w:rPr>
            </w:pPr>
            <w:r>
              <w:rPr>
                <w:rFonts w:ascii="Times New Roman" w:cs="Times New Roman" w:eastAsia="Times New Roman" w:hAnsi="Times New Roman"/>
                <w:sz w:val="17"/>
                <w:szCs w:val="17"/>
                <w:b w:val="1"/>
                <w:bCs w:val="1"/>
                <w:color w:val="auto"/>
              </w:rPr>
              <w:t>36,547</w:t>
            </w:r>
          </w:p>
        </w:tc>
        <w:tc>
          <w:tcPr>
            <w:tcW w:w="140" w:type="dxa"/>
            <w:vAlign w:val="bottom"/>
          </w:tcPr>
          <w:p>
            <w:pPr>
              <w:spacing w:after="0"/>
              <w:rPr>
                <w:sz w:val="20"/>
                <w:szCs w:val="20"/>
                <w:color w:val="auto"/>
              </w:rPr>
            </w:pPr>
          </w:p>
        </w:tc>
        <w:tc>
          <w:tcPr>
            <w:tcW w:w="240" w:type="dxa"/>
            <w:vAlign w:val="bottom"/>
          </w:tcPr>
          <w:p>
            <w:pPr>
              <w:jc w:val="right"/>
              <w:ind w:right="55"/>
              <w:spacing w:after="0"/>
              <w:rPr>
                <w:sz w:val="20"/>
                <w:szCs w:val="20"/>
                <w:color w:val="auto"/>
              </w:rPr>
            </w:pPr>
            <w:r>
              <w:rPr>
                <w:rFonts w:ascii="Times New Roman" w:cs="Times New Roman" w:eastAsia="Times New Roman" w:hAnsi="Times New Roman"/>
                <w:sz w:val="17"/>
                <w:szCs w:val="17"/>
                <w:color w:val="auto"/>
                <w:w w:val="93"/>
              </w:rPr>
              <w:t>$</w:t>
            </w:r>
          </w:p>
        </w:tc>
        <w:tc>
          <w:tcPr>
            <w:tcW w:w="84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rPr>
              <w:t>27,888</w:t>
            </w:r>
          </w:p>
        </w:tc>
        <w:tc>
          <w:tcPr>
            <w:tcW w:w="160" w:type="dxa"/>
            <w:vAlign w:val="bottom"/>
          </w:tcPr>
          <w:p>
            <w:pPr>
              <w:spacing w:after="0"/>
              <w:rPr>
                <w:sz w:val="20"/>
                <w:szCs w:val="20"/>
                <w:color w:val="auto"/>
              </w:rPr>
            </w:pPr>
          </w:p>
        </w:tc>
        <w:tc>
          <w:tcPr>
            <w:tcW w:w="1060" w:type="dxa"/>
            <w:vAlign w:val="bottom"/>
          </w:tcPr>
          <w:p>
            <w:pPr>
              <w:jc w:val="right"/>
              <w:ind w:right="35"/>
              <w:spacing w:after="0"/>
              <w:rPr>
                <w:sz w:val="20"/>
                <w:szCs w:val="20"/>
                <w:color w:val="auto"/>
              </w:rPr>
            </w:pPr>
            <w:r>
              <w:rPr>
                <w:rFonts w:ascii="Times New Roman" w:cs="Times New Roman" w:eastAsia="Times New Roman" w:hAnsi="Times New Roman"/>
                <w:sz w:val="17"/>
                <w:szCs w:val="17"/>
                <w:i w:val="1"/>
                <w:iCs w:val="1"/>
                <w:color w:val="auto"/>
              </w:rPr>
              <w:t>31%</w:t>
            </w:r>
          </w:p>
        </w:tc>
      </w:tr>
      <w:tr>
        <w:trPr>
          <w:trHeight w:val="230"/>
        </w:trPr>
        <w:tc>
          <w:tcPr>
            <w:tcW w:w="4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Gross profit</w:t>
            </w:r>
          </w:p>
        </w:tc>
        <w:tc>
          <w:tcPr>
            <w:tcW w:w="22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84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b w:val="1"/>
                <w:bCs w:val="1"/>
                <w:color w:val="auto"/>
              </w:rPr>
              <w:t>288</w:t>
            </w:r>
          </w:p>
        </w:tc>
        <w:tc>
          <w:tcPr>
            <w:tcW w:w="14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w w:val="93"/>
              </w:rPr>
              <w:t>$</w:t>
            </w:r>
          </w:p>
        </w:tc>
        <w:tc>
          <w:tcPr>
            <w:tcW w:w="82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250</w:t>
            </w:r>
          </w:p>
        </w:tc>
        <w:tc>
          <w:tcPr>
            <w:tcW w:w="160" w:type="dxa"/>
            <w:vAlign w:val="bottom"/>
            <w:shd w:val="clear" w:color="auto" w:fill="CCEEFF"/>
          </w:tcPr>
          <w:p>
            <w:pPr>
              <w:spacing w:after="0"/>
              <w:rPr>
                <w:sz w:val="20"/>
                <w:szCs w:val="20"/>
                <w:color w:val="auto"/>
              </w:rPr>
            </w:pPr>
          </w:p>
        </w:tc>
        <w:tc>
          <w:tcPr>
            <w:tcW w:w="106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i w:val="1"/>
                <w:iCs w:val="1"/>
                <w:color w:val="auto"/>
              </w:rPr>
              <w:t>15%</w:t>
            </w:r>
          </w:p>
        </w:tc>
        <w:tc>
          <w:tcPr>
            <w:tcW w:w="14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84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b w:val="1"/>
                <w:bCs w:val="1"/>
                <w:color w:val="auto"/>
              </w:rPr>
              <w:t>924</w:t>
            </w:r>
          </w:p>
        </w:tc>
        <w:tc>
          <w:tcPr>
            <w:tcW w:w="14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w w:val="93"/>
              </w:rPr>
              <w:t>$</w:t>
            </w:r>
          </w:p>
        </w:tc>
        <w:tc>
          <w:tcPr>
            <w:tcW w:w="84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rPr>
              <w:t>712</w:t>
            </w:r>
          </w:p>
        </w:tc>
        <w:tc>
          <w:tcPr>
            <w:tcW w:w="160" w:type="dxa"/>
            <w:vAlign w:val="bottom"/>
            <w:shd w:val="clear" w:color="auto" w:fill="CCEEFF"/>
          </w:tcPr>
          <w:p>
            <w:pPr>
              <w:spacing w:after="0"/>
              <w:rPr>
                <w:sz w:val="20"/>
                <w:szCs w:val="20"/>
                <w:color w:val="auto"/>
              </w:rPr>
            </w:pPr>
          </w:p>
        </w:tc>
        <w:tc>
          <w:tcPr>
            <w:tcW w:w="106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i w:val="1"/>
                <w:iCs w:val="1"/>
                <w:color w:val="auto"/>
              </w:rPr>
              <w:t>30%</w:t>
            </w:r>
          </w:p>
        </w:tc>
      </w:tr>
      <w:tr>
        <w:trPr>
          <w:trHeight w:val="230"/>
        </w:trPr>
        <w:tc>
          <w:tcPr>
            <w:tcW w:w="40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Adjusted gross profit</w:t>
            </w:r>
          </w:p>
        </w:tc>
        <w:tc>
          <w:tcPr>
            <w:tcW w:w="220" w:type="dxa"/>
            <w:vAlign w:val="bottom"/>
          </w:tcPr>
          <w:p>
            <w:pPr>
              <w:jc w:val="right"/>
              <w:ind w:right="35"/>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840" w:type="dxa"/>
            <w:vAlign w:val="bottom"/>
          </w:tcPr>
          <w:p>
            <w:pPr>
              <w:jc w:val="right"/>
              <w:ind w:right="35"/>
              <w:spacing w:after="0"/>
              <w:rPr>
                <w:sz w:val="20"/>
                <w:szCs w:val="20"/>
                <w:color w:val="auto"/>
              </w:rPr>
            </w:pPr>
            <w:r>
              <w:rPr>
                <w:rFonts w:ascii="Times New Roman" w:cs="Times New Roman" w:eastAsia="Times New Roman" w:hAnsi="Times New Roman"/>
                <w:sz w:val="17"/>
                <w:szCs w:val="17"/>
                <w:b w:val="1"/>
                <w:bCs w:val="1"/>
                <w:color w:val="auto"/>
              </w:rPr>
              <w:t>279</w:t>
            </w:r>
          </w:p>
        </w:tc>
        <w:tc>
          <w:tcPr>
            <w:tcW w:w="140" w:type="dxa"/>
            <w:vAlign w:val="bottom"/>
          </w:tcPr>
          <w:p>
            <w:pPr>
              <w:spacing w:after="0"/>
              <w:rPr>
                <w:sz w:val="20"/>
                <w:szCs w:val="20"/>
                <w:color w:val="auto"/>
              </w:rPr>
            </w:pPr>
          </w:p>
        </w:tc>
        <w:tc>
          <w:tcPr>
            <w:tcW w:w="240" w:type="dxa"/>
            <w:vAlign w:val="bottom"/>
          </w:tcPr>
          <w:p>
            <w:pPr>
              <w:jc w:val="right"/>
              <w:ind w:right="55"/>
              <w:spacing w:after="0"/>
              <w:rPr>
                <w:sz w:val="20"/>
                <w:szCs w:val="20"/>
                <w:color w:val="auto"/>
              </w:rPr>
            </w:pPr>
            <w:r>
              <w:rPr>
                <w:rFonts w:ascii="Times New Roman" w:cs="Times New Roman" w:eastAsia="Times New Roman" w:hAnsi="Times New Roman"/>
                <w:sz w:val="17"/>
                <w:szCs w:val="17"/>
                <w:color w:val="auto"/>
                <w:w w:val="93"/>
              </w:rPr>
              <w:t>$</w:t>
            </w:r>
          </w:p>
        </w:tc>
        <w:tc>
          <w:tcPr>
            <w:tcW w:w="82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250</w:t>
            </w:r>
          </w:p>
        </w:tc>
        <w:tc>
          <w:tcPr>
            <w:tcW w:w="160" w:type="dxa"/>
            <w:vAlign w:val="bottom"/>
          </w:tcPr>
          <w:p>
            <w:pPr>
              <w:spacing w:after="0"/>
              <w:rPr>
                <w:sz w:val="20"/>
                <w:szCs w:val="20"/>
                <w:color w:val="auto"/>
              </w:rPr>
            </w:pPr>
          </w:p>
        </w:tc>
        <w:tc>
          <w:tcPr>
            <w:tcW w:w="1060" w:type="dxa"/>
            <w:vAlign w:val="bottom"/>
          </w:tcPr>
          <w:p>
            <w:pPr>
              <w:jc w:val="right"/>
              <w:ind w:right="35"/>
              <w:spacing w:after="0"/>
              <w:rPr>
                <w:sz w:val="20"/>
                <w:szCs w:val="20"/>
                <w:color w:val="auto"/>
              </w:rPr>
            </w:pPr>
            <w:r>
              <w:rPr>
                <w:rFonts w:ascii="Times New Roman" w:cs="Times New Roman" w:eastAsia="Times New Roman" w:hAnsi="Times New Roman"/>
                <w:sz w:val="17"/>
                <w:szCs w:val="17"/>
                <w:i w:val="1"/>
                <w:iCs w:val="1"/>
                <w:color w:val="auto"/>
              </w:rPr>
              <w:t>12%</w:t>
            </w:r>
          </w:p>
        </w:tc>
        <w:tc>
          <w:tcPr>
            <w:tcW w:w="140" w:type="dxa"/>
            <w:vAlign w:val="bottom"/>
          </w:tcPr>
          <w:p>
            <w:pPr>
              <w:spacing w:after="0"/>
              <w:rPr>
                <w:sz w:val="20"/>
                <w:szCs w:val="20"/>
                <w:color w:val="auto"/>
              </w:rPr>
            </w:pPr>
          </w:p>
        </w:tc>
        <w:tc>
          <w:tcPr>
            <w:tcW w:w="240" w:type="dxa"/>
            <w:vAlign w:val="bottom"/>
          </w:tcPr>
          <w:p>
            <w:pPr>
              <w:jc w:val="right"/>
              <w:ind w:right="55"/>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840" w:type="dxa"/>
            <w:vAlign w:val="bottom"/>
          </w:tcPr>
          <w:p>
            <w:pPr>
              <w:jc w:val="right"/>
              <w:ind w:right="35"/>
              <w:spacing w:after="0"/>
              <w:rPr>
                <w:sz w:val="20"/>
                <w:szCs w:val="20"/>
                <w:color w:val="auto"/>
              </w:rPr>
            </w:pPr>
            <w:r>
              <w:rPr>
                <w:rFonts w:ascii="Times New Roman" w:cs="Times New Roman" w:eastAsia="Times New Roman" w:hAnsi="Times New Roman"/>
                <w:sz w:val="17"/>
                <w:szCs w:val="17"/>
                <w:b w:val="1"/>
                <w:bCs w:val="1"/>
                <w:color w:val="auto"/>
              </w:rPr>
              <w:t>882</w:t>
            </w:r>
          </w:p>
        </w:tc>
        <w:tc>
          <w:tcPr>
            <w:tcW w:w="140" w:type="dxa"/>
            <w:vAlign w:val="bottom"/>
          </w:tcPr>
          <w:p>
            <w:pPr>
              <w:spacing w:after="0"/>
              <w:rPr>
                <w:sz w:val="20"/>
                <w:szCs w:val="20"/>
                <w:color w:val="auto"/>
              </w:rPr>
            </w:pPr>
          </w:p>
        </w:tc>
        <w:tc>
          <w:tcPr>
            <w:tcW w:w="240" w:type="dxa"/>
            <w:vAlign w:val="bottom"/>
          </w:tcPr>
          <w:p>
            <w:pPr>
              <w:jc w:val="right"/>
              <w:ind w:right="55"/>
              <w:spacing w:after="0"/>
              <w:rPr>
                <w:sz w:val="20"/>
                <w:szCs w:val="20"/>
                <w:color w:val="auto"/>
              </w:rPr>
            </w:pPr>
            <w:r>
              <w:rPr>
                <w:rFonts w:ascii="Times New Roman" w:cs="Times New Roman" w:eastAsia="Times New Roman" w:hAnsi="Times New Roman"/>
                <w:sz w:val="17"/>
                <w:szCs w:val="17"/>
                <w:color w:val="auto"/>
                <w:w w:val="93"/>
              </w:rPr>
              <w:t>$</w:t>
            </w:r>
          </w:p>
        </w:tc>
        <w:tc>
          <w:tcPr>
            <w:tcW w:w="84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rPr>
              <w:t>712</w:t>
            </w:r>
          </w:p>
        </w:tc>
        <w:tc>
          <w:tcPr>
            <w:tcW w:w="160" w:type="dxa"/>
            <w:vAlign w:val="bottom"/>
          </w:tcPr>
          <w:p>
            <w:pPr>
              <w:spacing w:after="0"/>
              <w:rPr>
                <w:sz w:val="20"/>
                <w:szCs w:val="20"/>
                <w:color w:val="auto"/>
              </w:rPr>
            </w:pPr>
          </w:p>
        </w:tc>
        <w:tc>
          <w:tcPr>
            <w:tcW w:w="1060" w:type="dxa"/>
            <w:vAlign w:val="bottom"/>
          </w:tcPr>
          <w:p>
            <w:pPr>
              <w:jc w:val="right"/>
              <w:ind w:right="35"/>
              <w:spacing w:after="0"/>
              <w:rPr>
                <w:sz w:val="20"/>
                <w:szCs w:val="20"/>
                <w:color w:val="auto"/>
              </w:rPr>
            </w:pPr>
            <w:r>
              <w:rPr>
                <w:rFonts w:ascii="Times New Roman" w:cs="Times New Roman" w:eastAsia="Times New Roman" w:hAnsi="Times New Roman"/>
                <w:sz w:val="17"/>
                <w:szCs w:val="17"/>
                <w:i w:val="1"/>
                <w:iCs w:val="1"/>
                <w:color w:val="auto"/>
              </w:rPr>
              <w:t>24%</w:t>
            </w:r>
          </w:p>
        </w:tc>
      </w:tr>
      <w:tr>
        <w:trPr>
          <w:trHeight w:val="230"/>
        </w:trPr>
        <w:tc>
          <w:tcPr>
            <w:tcW w:w="4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Operating expenses</w:t>
            </w:r>
          </w:p>
        </w:tc>
        <w:tc>
          <w:tcPr>
            <w:tcW w:w="22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84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b w:val="1"/>
                <w:bCs w:val="1"/>
                <w:color w:val="auto"/>
              </w:rPr>
              <w:t>208</w:t>
            </w:r>
          </w:p>
        </w:tc>
        <w:tc>
          <w:tcPr>
            <w:tcW w:w="14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w w:val="93"/>
              </w:rPr>
              <w:t>$</w:t>
            </w:r>
          </w:p>
        </w:tc>
        <w:tc>
          <w:tcPr>
            <w:tcW w:w="82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187</w:t>
            </w:r>
          </w:p>
        </w:tc>
        <w:tc>
          <w:tcPr>
            <w:tcW w:w="160" w:type="dxa"/>
            <w:vAlign w:val="bottom"/>
            <w:shd w:val="clear" w:color="auto" w:fill="CCEEFF"/>
          </w:tcPr>
          <w:p>
            <w:pPr>
              <w:spacing w:after="0"/>
              <w:rPr>
                <w:sz w:val="20"/>
                <w:szCs w:val="20"/>
                <w:color w:val="auto"/>
              </w:rPr>
            </w:pPr>
          </w:p>
        </w:tc>
        <w:tc>
          <w:tcPr>
            <w:tcW w:w="106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i w:val="1"/>
                <w:iCs w:val="1"/>
                <w:color w:val="auto"/>
              </w:rPr>
              <w:t>11%</w:t>
            </w:r>
          </w:p>
        </w:tc>
        <w:tc>
          <w:tcPr>
            <w:tcW w:w="14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84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b w:val="1"/>
                <w:bCs w:val="1"/>
                <w:color w:val="auto"/>
              </w:rPr>
              <w:t>692</w:t>
            </w:r>
          </w:p>
        </w:tc>
        <w:tc>
          <w:tcPr>
            <w:tcW w:w="14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w w:val="93"/>
              </w:rPr>
              <w:t>$</w:t>
            </w:r>
          </w:p>
        </w:tc>
        <w:tc>
          <w:tcPr>
            <w:tcW w:w="84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rPr>
              <w:t>1,001</w:t>
            </w:r>
          </w:p>
        </w:tc>
        <w:tc>
          <w:tcPr>
            <w:tcW w:w="160" w:type="dxa"/>
            <w:vAlign w:val="bottom"/>
            <w:shd w:val="clear" w:color="auto" w:fill="CCEEFF"/>
          </w:tcPr>
          <w:p>
            <w:pPr>
              <w:spacing w:after="0"/>
              <w:rPr>
                <w:sz w:val="20"/>
                <w:szCs w:val="20"/>
                <w:color w:val="auto"/>
              </w:rPr>
            </w:pPr>
          </w:p>
        </w:tc>
        <w:tc>
          <w:tcPr>
            <w:tcW w:w="106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i w:val="1"/>
                <w:iCs w:val="1"/>
                <w:color w:val="auto"/>
              </w:rPr>
              <w:t>(31)%</w:t>
            </w:r>
          </w:p>
        </w:tc>
      </w:tr>
      <w:tr>
        <w:trPr>
          <w:trHeight w:val="230"/>
        </w:trPr>
        <w:tc>
          <w:tcPr>
            <w:tcW w:w="40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Adjusted operating expenses</w:t>
            </w:r>
          </w:p>
        </w:tc>
        <w:tc>
          <w:tcPr>
            <w:tcW w:w="220" w:type="dxa"/>
            <w:vAlign w:val="bottom"/>
          </w:tcPr>
          <w:p>
            <w:pPr>
              <w:jc w:val="right"/>
              <w:ind w:right="35"/>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840" w:type="dxa"/>
            <w:vAlign w:val="bottom"/>
          </w:tcPr>
          <w:p>
            <w:pPr>
              <w:jc w:val="right"/>
              <w:ind w:right="35"/>
              <w:spacing w:after="0"/>
              <w:rPr>
                <w:sz w:val="20"/>
                <w:szCs w:val="20"/>
                <w:color w:val="auto"/>
              </w:rPr>
            </w:pPr>
            <w:r>
              <w:rPr>
                <w:rFonts w:ascii="Times New Roman" w:cs="Times New Roman" w:eastAsia="Times New Roman" w:hAnsi="Times New Roman"/>
                <w:sz w:val="17"/>
                <w:szCs w:val="17"/>
                <w:b w:val="1"/>
                <w:bCs w:val="1"/>
                <w:color w:val="auto"/>
              </w:rPr>
              <w:t>176</w:t>
            </w:r>
          </w:p>
        </w:tc>
        <w:tc>
          <w:tcPr>
            <w:tcW w:w="140" w:type="dxa"/>
            <w:vAlign w:val="bottom"/>
          </w:tcPr>
          <w:p>
            <w:pPr>
              <w:spacing w:after="0"/>
              <w:rPr>
                <w:sz w:val="20"/>
                <w:szCs w:val="20"/>
                <w:color w:val="auto"/>
              </w:rPr>
            </w:pPr>
          </w:p>
        </w:tc>
        <w:tc>
          <w:tcPr>
            <w:tcW w:w="240" w:type="dxa"/>
            <w:vAlign w:val="bottom"/>
          </w:tcPr>
          <w:p>
            <w:pPr>
              <w:jc w:val="right"/>
              <w:ind w:right="55"/>
              <w:spacing w:after="0"/>
              <w:rPr>
                <w:sz w:val="20"/>
                <w:szCs w:val="20"/>
                <w:color w:val="auto"/>
              </w:rPr>
            </w:pPr>
            <w:r>
              <w:rPr>
                <w:rFonts w:ascii="Times New Roman" w:cs="Times New Roman" w:eastAsia="Times New Roman" w:hAnsi="Times New Roman"/>
                <w:sz w:val="17"/>
                <w:szCs w:val="17"/>
                <w:color w:val="auto"/>
                <w:w w:val="93"/>
              </w:rPr>
              <w:t>$</w:t>
            </w:r>
          </w:p>
        </w:tc>
        <w:tc>
          <w:tcPr>
            <w:tcW w:w="82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181</w:t>
            </w:r>
          </w:p>
        </w:tc>
        <w:tc>
          <w:tcPr>
            <w:tcW w:w="160" w:type="dxa"/>
            <w:vAlign w:val="bottom"/>
          </w:tcPr>
          <w:p>
            <w:pPr>
              <w:spacing w:after="0"/>
              <w:rPr>
                <w:sz w:val="20"/>
                <w:szCs w:val="20"/>
                <w:color w:val="auto"/>
              </w:rPr>
            </w:pPr>
          </w:p>
        </w:tc>
        <w:tc>
          <w:tcPr>
            <w:tcW w:w="1060" w:type="dxa"/>
            <w:vAlign w:val="bottom"/>
          </w:tcPr>
          <w:p>
            <w:pPr>
              <w:jc w:val="right"/>
              <w:ind w:right="35"/>
              <w:spacing w:after="0"/>
              <w:rPr>
                <w:sz w:val="20"/>
                <w:szCs w:val="20"/>
                <w:color w:val="auto"/>
              </w:rPr>
            </w:pPr>
            <w:r>
              <w:rPr>
                <w:rFonts w:ascii="Times New Roman" w:cs="Times New Roman" w:eastAsia="Times New Roman" w:hAnsi="Times New Roman"/>
                <w:sz w:val="17"/>
                <w:szCs w:val="17"/>
                <w:i w:val="1"/>
                <w:iCs w:val="1"/>
                <w:color w:val="auto"/>
              </w:rPr>
              <w:t>(3)%</w:t>
            </w:r>
          </w:p>
        </w:tc>
        <w:tc>
          <w:tcPr>
            <w:tcW w:w="140" w:type="dxa"/>
            <w:vAlign w:val="bottom"/>
          </w:tcPr>
          <w:p>
            <w:pPr>
              <w:spacing w:after="0"/>
              <w:rPr>
                <w:sz w:val="20"/>
                <w:szCs w:val="20"/>
                <w:color w:val="auto"/>
              </w:rPr>
            </w:pPr>
          </w:p>
        </w:tc>
        <w:tc>
          <w:tcPr>
            <w:tcW w:w="240" w:type="dxa"/>
            <w:vAlign w:val="bottom"/>
          </w:tcPr>
          <w:p>
            <w:pPr>
              <w:jc w:val="right"/>
              <w:ind w:right="55"/>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840" w:type="dxa"/>
            <w:vAlign w:val="bottom"/>
          </w:tcPr>
          <w:p>
            <w:pPr>
              <w:jc w:val="right"/>
              <w:ind w:right="35"/>
              <w:spacing w:after="0"/>
              <w:rPr>
                <w:sz w:val="20"/>
                <w:szCs w:val="20"/>
                <w:color w:val="auto"/>
              </w:rPr>
            </w:pPr>
            <w:r>
              <w:rPr>
                <w:rFonts w:ascii="Times New Roman" w:cs="Times New Roman" w:eastAsia="Times New Roman" w:hAnsi="Times New Roman"/>
                <w:sz w:val="17"/>
                <w:szCs w:val="17"/>
                <w:b w:val="1"/>
                <w:bCs w:val="1"/>
                <w:color w:val="auto"/>
              </w:rPr>
              <w:t>591</w:t>
            </w:r>
          </w:p>
        </w:tc>
        <w:tc>
          <w:tcPr>
            <w:tcW w:w="140" w:type="dxa"/>
            <w:vAlign w:val="bottom"/>
          </w:tcPr>
          <w:p>
            <w:pPr>
              <w:spacing w:after="0"/>
              <w:rPr>
                <w:sz w:val="20"/>
                <w:szCs w:val="20"/>
                <w:color w:val="auto"/>
              </w:rPr>
            </w:pPr>
          </w:p>
        </w:tc>
        <w:tc>
          <w:tcPr>
            <w:tcW w:w="240" w:type="dxa"/>
            <w:vAlign w:val="bottom"/>
          </w:tcPr>
          <w:p>
            <w:pPr>
              <w:jc w:val="right"/>
              <w:ind w:right="55"/>
              <w:spacing w:after="0"/>
              <w:rPr>
                <w:sz w:val="20"/>
                <w:szCs w:val="20"/>
                <w:color w:val="auto"/>
              </w:rPr>
            </w:pPr>
            <w:r>
              <w:rPr>
                <w:rFonts w:ascii="Times New Roman" w:cs="Times New Roman" w:eastAsia="Times New Roman" w:hAnsi="Times New Roman"/>
                <w:sz w:val="17"/>
                <w:szCs w:val="17"/>
                <w:color w:val="auto"/>
                <w:w w:val="93"/>
              </w:rPr>
              <w:t>$</w:t>
            </w:r>
          </w:p>
        </w:tc>
        <w:tc>
          <w:tcPr>
            <w:tcW w:w="84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rPr>
              <w:t>531</w:t>
            </w:r>
          </w:p>
        </w:tc>
        <w:tc>
          <w:tcPr>
            <w:tcW w:w="160" w:type="dxa"/>
            <w:vAlign w:val="bottom"/>
          </w:tcPr>
          <w:p>
            <w:pPr>
              <w:spacing w:after="0"/>
              <w:rPr>
                <w:sz w:val="20"/>
                <w:szCs w:val="20"/>
                <w:color w:val="auto"/>
              </w:rPr>
            </w:pPr>
          </w:p>
        </w:tc>
        <w:tc>
          <w:tcPr>
            <w:tcW w:w="1060" w:type="dxa"/>
            <w:vAlign w:val="bottom"/>
          </w:tcPr>
          <w:p>
            <w:pPr>
              <w:jc w:val="right"/>
              <w:ind w:right="35"/>
              <w:spacing w:after="0"/>
              <w:rPr>
                <w:sz w:val="20"/>
                <w:szCs w:val="20"/>
                <w:color w:val="auto"/>
              </w:rPr>
            </w:pPr>
            <w:r>
              <w:rPr>
                <w:rFonts w:ascii="Times New Roman" w:cs="Times New Roman" w:eastAsia="Times New Roman" w:hAnsi="Times New Roman"/>
                <w:sz w:val="17"/>
                <w:szCs w:val="17"/>
                <w:i w:val="1"/>
                <w:iCs w:val="1"/>
                <w:color w:val="auto"/>
              </w:rPr>
              <w:t>11%</w:t>
            </w:r>
          </w:p>
        </w:tc>
      </w:tr>
      <w:tr>
        <w:trPr>
          <w:trHeight w:val="230"/>
        </w:trPr>
        <w:tc>
          <w:tcPr>
            <w:tcW w:w="4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Income (loss) from operations</w:t>
            </w:r>
          </w:p>
        </w:tc>
        <w:tc>
          <w:tcPr>
            <w:tcW w:w="22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84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b w:val="1"/>
                <w:bCs w:val="1"/>
                <w:color w:val="auto"/>
              </w:rPr>
              <w:t>80</w:t>
            </w:r>
          </w:p>
        </w:tc>
        <w:tc>
          <w:tcPr>
            <w:tcW w:w="14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w w:val="93"/>
              </w:rPr>
              <w:t>$</w:t>
            </w:r>
          </w:p>
        </w:tc>
        <w:tc>
          <w:tcPr>
            <w:tcW w:w="82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63</w:t>
            </w:r>
          </w:p>
        </w:tc>
        <w:tc>
          <w:tcPr>
            <w:tcW w:w="160" w:type="dxa"/>
            <w:vAlign w:val="bottom"/>
            <w:shd w:val="clear" w:color="auto" w:fill="CCEEFF"/>
          </w:tcPr>
          <w:p>
            <w:pPr>
              <w:spacing w:after="0"/>
              <w:rPr>
                <w:sz w:val="20"/>
                <w:szCs w:val="20"/>
                <w:color w:val="auto"/>
              </w:rPr>
            </w:pPr>
          </w:p>
        </w:tc>
        <w:tc>
          <w:tcPr>
            <w:tcW w:w="106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i w:val="1"/>
                <w:iCs w:val="1"/>
                <w:color w:val="auto"/>
              </w:rPr>
              <w:t>27%</w:t>
            </w:r>
          </w:p>
        </w:tc>
        <w:tc>
          <w:tcPr>
            <w:tcW w:w="14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84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b w:val="1"/>
                <w:bCs w:val="1"/>
                <w:color w:val="auto"/>
              </w:rPr>
              <w:t>232</w:t>
            </w:r>
          </w:p>
        </w:tc>
        <w:tc>
          <w:tcPr>
            <w:tcW w:w="14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w w:val="93"/>
              </w:rPr>
              <w:t>$</w:t>
            </w:r>
          </w:p>
        </w:tc>
        <w:tc>
          <w:tcPr>
            <w:tcW w:w="84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rPr>
              <w:t>(289)</w:t>
            </w:r>
          </w:p>
        </w:tc>
        <w:tc>
          <w:tcPr>
            <w:tcW w:w="160" w:type="dxa"/>
            <w:vAlign w:val="bottom"/>
            <w:shd w:val="clear" w:color="auto" w:fill="CCEEFF"/>
          </w:tcPr>
          <w:p>
            <w:pPr>
              <w:spacing w:after="0"/>
              <w:rPr>
                <w:sz w:val="20"/>
                <w:szCs w:val="20"/>
                <w:color w:val="auto"/>
              </w:rPr>
            </w:pPr>
          </w:p>
        </w:tc>
        <w:tc>
          <w:tcPr>
            <w:tcW w:w="106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i w:val="1"/>
                <w:iCs w:val="1"/>
                <w:color w:val="auto"/>
              </w:rPr>
              <w:t>180%</w:t>
            </w:r>
          </w:p>
        </w:tc>
      </w:tr>
      <w:tr>
        <w:trPr>
          <w:trHeight w:val="230"/>
        </w:trPr>
        <w:tc>
          <w:tcPr>
            <w:tcW w:w="4020" w:type="dxa"/>
            <w:vAlign w:val="bottom"/>
          </w:tcPr>
          <w:p>
            <w:pPr>
              <w:ind w:left="220"/>
              <w:spacing w:after="0"/>
              <w:rPr>
                <w:sz w:val="20"/>
                <w:szCs w:val="20"/>
                <w:color w:val="auto"/>
              </w:rPr>
            </w:pPr>
            <w:r>
              <w:rPr>
                <w:rFonts w:ascii="Times New Roman" w:cs="Times New Roman" w:eastAsia="Times New Roman" w:hAnsi="Times New Roman"/>
                <w:sz w:val="17"/>
                <w:szCs w:val="17"/>
                <w:i w:val="1"/>
                <w:iCs w:val="1"/>
                <w:color w:val="auto"/>
              </w:rPr>
              <w:t>Operating margin</w:t>
            </w:r>
          </w:p>
        </w:tc>
        <w:tc>
          <w:tcPr>
            <w:tcW w:w="220" w:type="dxa"/>
            <w:vAlign w:val="bottom"/>
          </w:tcPr>
          <w:p>
            <w:pPr>
              <w:spacing w:after="0"/>
              <w:rPr>
                <w:sz w:val="20"/>
                <w:szCs w:val="20"/>
                <w:color w:val="auto"/>
              </w:rPr>
            </w:pPr>
          </w:p>
        </w:tc>
        <w:tc>
          <w:tcPr>
            <w:tcW w:w="840" w:type="dxa"/>
            <w:vAlign w:val="bottom"/>
          </w:tcPr>
          <w:p>
            <w:pPr>
              <w:jc w:val="right"/>
              <w:ind w:right="35"/>
              <w:spacing w:after="0"/>
              <w:rPr>
                <w:sz w:val="20"/>
                <w:szCs w:val="20"/>
                <w:color w:val="auto"/>
              </w:rPr>
            </w:pPr>
            <w:r>
              <w:rPr>
                <w:rFonts w:ascii="Times New Roman" w:cs="Times New Roman" w:eastAsia="Times New Roman" w:hAnsi="Times New Roman"/>
                <w:sz w:val="17"/>
                <w:szCs w:val="17"/>
                <w:b w:val="1"/>
                <w:bCs w:val="1"/>
                <w:i w:val="1"/>
                <w:iCs w:val="1"/>
                <w:color w:val="auto"/>
              </w:rPr>
              <w:t>28%</w:t>
            </w: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jc w:val="right"/>
              <w:ind w:right="15"/>
              <w:spacing w:after="0"/>
              <w:rPr>
                <w:sz w:val="20"/>
                <w:szCs w:val="20"/>
                <w:color w:val="auto"/>
              </w:rPr>
            </w:pPr>
            <w:r>
              <w:rPr>
                <w:rFonts w:ascii="Times New Roman" w:cs="Times New Roman" w:eastAsia="Times New Roman" w:hAnsi="Times New Roman"/>
                <w:sz w:val="17"/>
                <w:szCs w:val="17"/>
                <w:i w:val="1"/>
                <w:iCs w:val="1"/>
                <w:color w:val="auto"/>
              </w:rPr>
              <w:t>25%</w:t>
            </w:r>
          </w:p>
        </w:tc>
        <w:tc>
          <w:tcPr>
            <w:tcW w:w="1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tcPr>
          <w:p>
            <w:pPr>
              <w:jc w:val="right"/>
              <w:ind w:right="35"/>
              <w:spacing w:after="0"/>
              <w:rPr>
                <w:sz w:val="20"/>
                <w:szCs w:val="20"/>
                <w:color w:val="auto"/>
              </w:rPr>
            </w:pPr>
            <w:r>
              <w:rPr>
                <w:rFonts w:ascii="Times New Roman" w:cs="Times New Roman" w:eastAsia="Times New Roman" w:hAnsi="Times New Roman"/>
                <w:sz w:val="17"/>
                <w:szCs w:val="17"/>
                <w:b w:val="1"/>
                <w:bCs w:val="1"/>
                <w:i w:val="1"/>
                <w:iCs w:val="1"/>
                <w:color w:val="auto"/>
              </w:rPr>
              <w:t>25%</w:t>
            </w: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tcPr>
          <w:p>
            <w:pPr>
              <w:jc w:val="right"/>
              <w:ind w:right="35"/>
              <w:spacing w:after="0"/>
              <w:rPr>
                <w:sz w:val="20"/>
                <w:szCs w:val="20"/>
                <w:color w:val="auto"/>
              </w:rPr>
            </w:pPr>
            <w:r>
              <w:rPr>
                <w:rFonts w:ascii="Times New Roman" w:cs="Times New Roman" w:eastAsia="Times New Roman" w:hAnsi="Times New Roman"/>
                <w:sz w:val="17"/>
                <w:szCs w:val="17"/>
                <w:i w:val="1"/>
                <w:iCs w:val="1"/>
                <w:color w:val="auto"/>
              </w:rPr>
              <w:t>(41)%</w:t>
            </w:r>
          </w:p>
        </w:tc>
        <w:tc>
          <w:tcPr>
            <w:tcW w:w="160" w:type="dxa"/>
            <w:vAlign w:val="bottom"/>
          </w:tcPr>
          <w:p>
            <w:pPr>
              <w:spacing w:after="0"/>
              <w:rPr>
                <w:sz w:val="20"/>
                <w:szCs w:val="20"/>
                <w:color w:val="auto"/>
              </w:rPr>
            </w:pPr>
          </w:p>
        </w:tc>
        <w:tc>
          <w:tcPr>
            <w:tcW w:w="1060" w:type="dxa"/>
            <w:vAlign w:val="bottom"/>
          </w:tcPr>
          <w:p>
            <w:pPr>
              <w:spacing w:after="0"/>
              <w:rPr>
                <w:sz w:val="20"/>
                <w:szCs w:val="20"/>
                <w:color w:val="auto"/>
              </w:rPr>
            </w:pPr>
          </w:p>
        </w:tc>
      </w:tr>
      <w:tr>
        <w:trPr>
          <w:trHeight w:val="230"/>
        </w:trPr>
        <w:tc>
          <w:tcPr>
            <w:tcW w:w="4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Adjusted income from operations</w:t>
            </w:r>
          </w:p>
        </w:tc>
        <w:tc>
          <w:tcPr>
            <w:tcW w:w="22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84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b w:val="1"/>
                <w:bCs w:val="1"/>
                <w:color w:val="auto"/>
              </w:rPr>
              <w:t>103</w:t>
            </w:r>
          </w:p>
        </w:tc>
        <w:tc>
          <w:tcPr>
            <w:tcW w:w="14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w w:val="93"/>
              </w:rPr>
              <w:t>$</w:t>
            </w:r>
          </w:p>
        </w:tc>
        <w:tc>
          <w:tcPr>
            <w:tcW w:w="82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69</w:t>
            </w:r>
          </w:p>
        </w:tc>
        <w:tc>
          <w:tcPr>
            <w:tcW w:w="160" w:type="dxa"/>
            <w:vAlign w:val="bottom"/>
            <w:shd w:val="clear" w:color="auto" w:fill="CCEEFF"/>
          </w:tcPr>
          <w:p>
            <w:pPr>
              <w:spacing w:after="0"/>
              <w:rPr>
                <w:sz w:val="20"/>
                <w:szCs w:val="20"/>
                <w:color w:val="auto"/>
              </w:rPr>
            </w:pPr>
          </w:p>
        </w:tc>
        <w:tc>
          <w:tcPr>
            <w:tcW w:w="106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i w:val="1"/>
                <w:iCs w:val="1"/>
                <w:color w:val="auto"/>
              </w:rPr>
              <w:t>50%</w:t>
            </w:r>
          </w:p>
        </w:tc>
        <w:tc>
          <w:tcPr>
            <w:tcW w:w="14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84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b w:val="1"/>
                <w:bCs w:val="1"/>
                <w:color w:val="auto"/>
              </w:rPr>
              <w:t>292</w:t>
            </w:r>
          </w:p>
        </w:tc>
        <w:tc>
          <w:tcPr>
            <w:tcW w:w="14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w w:val="93"/>
              </w:rPr>
              <w:t>$</w:t>
            </w:r>
          </w:p>
        </w:tc>
        <w:tc>
          <w:tcPr>
            <w:tcW w:w="84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rPr>
              <w:t>181</w:t>
            </w:r>
          </w:p>
        </w:tc>
        <w:tc>
          <w:tcPr>
            <w:tcW w:w="160" w:type="dxa"/>
            <w:vAlign w:val="bottom"/>
            <w:shd w:val="clear" w:color="auto" w:fill="CCEEFF"/>
          </w:tcPr>
          <w:p>
            <w:pPr>
              <w:spacing w:after="0"/>
              <w:rPr>
                <w:sz w:val="20"/>
                <w:szCs w:val="20"/>
                <w:color w:val="auto"/>
              </w:rPr>
            </w:pPr>
          </w:p>
        </w:tc>
        <w:tc>
          <w:tcPr>
            <w:tcW w:w="106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i w:val="1"/>
                <w:iCs w:val="1"/>
                <w:color w:val="auto"/>
              </w:rPr>
              <w:t>61%</w:t>
            </w:r>
          </w:p>
        </w:tc>
      </w:tr>
      <w:tr>
        <w:trPr>
          <w:trHeight w:val="230"/>
        </w:trPr>
        <w:tc>
          <w:tcPr>
            <w:tcW w:w="4020" w:type="dxa"/>
            <w:vAlign w:val="bottom"/>
          </w:tcPr>
          <w:p>
            <w:pPr>
              <w:ind w:left="220"/>
              <w:spacing w:after="0"/>
              <w:rPr>
                <w:sz w:val="20"/>
                <w:szCs w:val="20"/>
                <w:color w:val="auto"/>
              </w:rPr>
            </w:pPr>
            <w:r>
              <w:rPr>
                <w:rFonts w:ascii="Times New Roman" w:cs="Times New Roman" w:eastAsia="Times New Roman" w:hAnsi="Times New Roman"/>
                <w:sz w:val="17"/>
                <w:szCs w:val="17"/>
                <w:i w:val="1"/>
                <w:iCs w:val="1"/>
                <w:color w:val="auto"/>
              </w:rPr>
              <w:t>Adjusted operating margin</w:t>
            </w:r>
          </w:p>
        </w:tc>
        <w:tc>
          <w:tcPr>
            <w:tcW w:w="220" w:type="dxa"/>
            <w:vAlign w:val="bottom"/>
          </w:tcPr>
          <w:p>
            <w:pPr>
              <w:spacing w:after="0"/>
              <w:rPr>
                <w:sz w:val="20"/>
                <w:szCs w:val="20"/>
                <w:color w:val="auto"/>
              </w:rPr>
            </w:pPr>
          </w:p>
        </w:tc>
        <w:tc>
          <w:tcPr>
            <w:tcW w:w="840" w:type="dxa"/>
            <w:vAlign w:val="bottom"/>
          </w:tcPr>
          <w:p>
            <w:pPr>
              <w:jc w:val="right"/>
              <w:ind w:right="35"/>
              <w:spacing w:after="0"/>
              <w:rPr>
                <w:sz w:val="20"/>
                <w:szCs w:val="20"/>
                <w:color w:val="auto"/>
              </w:rPr>
            </w:pPr>
            <w:r>
              <w:rPr>
                <w:rFonts w:ascii="Times New Roman" w:cs="Times New Roman" w:eastAsia="Times New Roman" w:hAnsi="Times New Roman"/>
                <w:sz w:val="17"/>
                <w:szCs w:val="17"/>
                <w:b w:val="1"/>
                <w:bCs w:val="1"/>
                <w:i w:val="1"/>
                <w:iCs w:val="1"/>
                <w:color w:val="auto"/>
              </w:rPr>
              <w:t>37%</w:t>
            </w: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jc w:val="right"/>
              <w:ind w:right="15"/>
              <w:spacing w:after="0"/>
              <w:rPr>
                <w:sz w:val="20"/>
                <w:szCs w:val="20"/>
                <w:color w:val="auto"/>
              </w:rPr>
            </w:pPr>
            <w:r>
              <w:rPr>
                <w:rFonts w:ascii="Times New Roman" w:cs="Times New Roman" w:eastAsia="Times New Roman" w:hAnsi="Times New Roman"/>
                <w:sz w:val="17"/>
                <w:szCs w:val="17"/>
                <w:i w:val="1"/>
                <w:iCs w:val="1"/>
                <w:color w:val="auto"/>
              </w:rPr>
              <w:t>27%</w:t>
            </w:r>
          </w:p>
        </w:tc>
        <w:tc>
          <w:tcPr>
            <w:tcW w:w="1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tcPr>
          <w:p>
            <w:pPr>
              <w:jc w:val="right"/>
              <w:ind w:right="35"/>
              <w:spacing w:after="0"/>
              <w:rPr>
                <w:sz w:val="20"/>
                <w:szCs w:val="20"/>
                <w:color w:val="auto"/>
              </w:rPr>
            </w:pPr>
            <w:r>
              <w:rPr>
                <w:rFonts w:ascii="Times New Roman" w:cs="Times New Roman" w:eastAsia="Times New Roman" w:hAnsi="Times New Roman"/>
                <w:sz w:val="17"/>
                <w:szCs w:val="17"/>
                <w:b w:val="1"/>
                <w:bCs w:val="1"/>
                <w:i w:val="1"/>
                <w:iCs w:val="1"/>
                <w:color w:val="auto"/>
              </w:rPr>
              <w:t>33%</w:t>
            </w: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tcPr>
          <w:p>
            <w:pPr>
              <w:jc w:val="right"/>
              <w:ind w:right="35"/>
              <w:spacing w:after="0"/>
              <w:rPr>
                <w:sz w:val="20"/>
                <w:szCs w:val="20"/>
                <w:color w:val="auto"/>
              </w:rPr>
            </w:pPr>
            <w:r>
              <w:rPr>
                <w:rFonts w:ascii="Times New Roman" w:cs="Times New Roman" w:eastAsia="Times New Roman" w:hAnsi="Times New Roman"/>
                <w:sz w:val="17"/>
                <w:szCs w:val="17"/>
                <w:i w:val="1"/>
                <w:iCs w:val="1"/>
                <w:color w:val="auto"/>
              </w:rPr>
              <w:t>25%</w:t>
            </w:r>
          </w:p>
        </w:tc>
        <w:tc>
          <w:tcPr>
            <w:tcW w:w="160" w:type="dxa"/>
            <w:vAlign w:val="bottom"/>
          </w:tcPr>
          <w:p>
            <w:pPr>
              <w:spacing w:after="0"/>
              <w:rPr>
                <w:sz w:val="20"/>
                <w:szCs w:val="20"/>
                <w:color w:val="auto"/>
              </w:rPr>
            </w:pPr>
          </w:p>
        </w:tc>
        <w:tc>
          <w:tcPr>
            <w:tcW w:w="1060" w:type="dxa"/>
            <w:vAlign w:val="bottom"/>
          </w:tcPr>
          <w:p>
            <w:pPr>
              <w:spacing w:after="0"/>
              <w:rPr>
                <w:sz w:val="20"/>
                <w:szCs w:val="20"/>
                <w:color w:val="auto"/>
              </w:rPr>
            </w:pPr>
          </w:p>
        </w:tc>
      </w:tr>
      <w:tr>
        <w:trPr>
          <w:trHeight w:val="230"/>
        </w:trPr>
        <w:tc>
          <w:tcPr>
            <w:tcW w:w="4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income (loss) including noncontrolling interest</w:t>
            </w:r>
          </w:p>
        </w:tc>
        <w:tc>
          <w:tcPr>
            <w:tcW w:w="22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84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b w:val="1"/>
                <w:bCs w:val="1"/>
                <w:color w:val="auto"/>
              </w:rPr>
              <w:t>38</w:t>
            </w:r>
          </w:p>
        </w:tc>
        <w:tc>
          <w:tcPr>
            <w:tcW w:w="14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w w:val="93"/>
              </w:rPr>
              <w:t>$</w:t>
            </w:r>
          </w:p>
        </w:tc>
        <w:tc>
          <w:tcPr>
            <w:tcW w:w="82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28</w:t>
            </w:r>
          </w:p>
        </w:tc>
        <w:tc>
          <w:tcPr>
            <w:tcW w:w="160" w:type="dxa"/>
            <w:vAlign w:val="bottom"/>
            <w:shd w:val="clear" w:color="auto" w:fill="CCEEFF"/>
          </w:tcPr>
          <w:p>
            <w:pPr>
              <w:spacing w:after="0"/>
              <w:rPr>
                <w:sz w:val="20"/>
                <w:szCs w:val="20"/>
                <w:color w:val="auto"/>
              </w:rPr>
            </w:pPr>
          </w:p>
        </w:tc>
        <w:tc>
          <w:tcPr>
            <w:tcW w:w="106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i w:val="1"/>
                <w:iCs w:val="1"/>
                <w:color w:val="auto"/>
              </w:rPr>
              <w:t>35%</w:t>
            </w:r>
          </w:p>
        </w:tc>
        <w:tc>
          <w:tcPr>
            <w:tcW w:w="14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84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b w:val="1"/>
                <w:bCs w:val="1"/>
                <w:color w:val="auto"/>
              </w:rPr>
              <w:t>113</w:t>
            </w:r>
          </w:p>
        </w:tc>
        <w:tc>
          <w:tcPr>
            <w:tcW w:w="14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w w:val="93"/>
              </w:rPr>
              <w:t>$</w:t>
            </w:r>
          </w:p>
        </w:tc>
        <w:tc>
          <w:tcPr>
            <w:tcW w:w="84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rPr>
              <w:t>(332)</w:t>
            </w:r>
          </w:p>
        </w:tc>
        <w:tc>
          <w:tcPr>
            <w:tcW w:w="160" w:type="dxa"/>
            <w:vAlign w:val="bottom"/>
            <w:shd w:val="clear" w:color="auto" w:fill="CCEEFF"/>
          </w:tcPr>
          <w:p>
            <w:pPr>
              <w:spacing w:after="0"/>
              <w:rPr>
                <w:sz w:val="20"/>
                <w:szCs w:val="20"/>
                <w:color w:val="auto"/>
              </w:rPr>
            </w:pPr>
          </w:p>
        </w:tc>
        <w:tc>
          <w:tcPr>
            <w:tcW w:w="106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i w:val="1"/>
                <w:iCs w:val="1"/>
                <w:color w:val="auto"/>
              </w:rPr>
              <w:t>134%</w:t>
            </w:r>
          </w:p>
        </w:tc>
      </w:tr>
      <w:tr>
        <w:trPr>
          <w:trHeight w:val="230"/>
        </w:trPr>
        <w:tc>
          <w:tcPr>
            <w:tcW w:w="40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Adjusted EBITDA</w:t>
            </w:r>
          </w:p>
        </w:tc>
        <w:tc>
          <w:tcPr>
            <w:tcW w:w="220" w:type="dxa"/>
            <w:vAlign w:val="bottom"/>
          </w:tcPr>
          <w:p>
            <w:pPr>
              <w:jc w:val="right"/>
              <w:ind w:right="35"/>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840" w:type="dxa"/>
            <w:vAlign w:val="bottom"/>
          </w:tcPr>
          <w:p>
            <w:pPr>
              <w:jc w:val="right"/>
              <w:ind w:right="35"/>
              <w:spacing w:after="0"/>
              <w:rPr>
                <w:sz w:val="20"/>
                <w:szCs w:val="20"/>
                <w:color w:val="auto"/>
              </w:rPr>
            </w:pPr>
            <w:r>
              <w:rPr>
                <w:rFonts w:ascii="Times New Roman" w:cs="Times New Roman" w:eastAsia="Times New Roman" w:hAnsi="Times New Roman"/>
                <w:sz w:val="17"/>
                <w:szCs w:val="17"/>
                <w:b w:val="1"/>
                <w:bCs w:val="1"/>
                <w:color w:val="auto"/>
              </w:rPr>
              <w:t>127</w:t>
            </w:r>
          </w:p>
        </w:tc>
        <w:tc>
          <w:tcPr>
            <w:tcW w:w="140" w:type="dxa"/>
            <w:vAlign w:val="bottom"/>
          </w:tcPr>
          <w:p>
            <w:pPr>
              <w:spacing w:after="0"/>
              <w:rPr>
                <w:sz w:val="20"/>
                <w:szCs w:val="20"/>
                <w:color w:val="auto"/>
              </w:rPr>
            </w:pPr>
          </w:p>
        </w:tc>
        <w:tc>
          <w:tcPr>
            <w:tcW w:w="240" w:type="dxa"/>
            <w:vAlign w:val="bottom"/>
          </w:tcPr>
          <w:p>
            <w:pPr>
              <w:jc w:val="right"/>
              <w:ind w:right="55"/>
              <w:spacing w:after="0"/>
              <w:rPr>
                <w:sz w:val="20"/>
                <w:szCs w:val="20"/>
                <w:color w:val="auto"/>
              </w:rPr>
            </w:pPr>
            <w:r>
              <w:rPr>
                <w:rFonts w:ascii="Times New Roman" w:cs="Times New Roman" w:eastAsia="Times New Roman" w:hAnsi="Times New Roman"/>
                <w:sz w:val="17"/>
                <w:szCs w:val="17"/>
                <w:color w:val="auto"/>
                <w:w w:val="93"/>
              </w:rPr>
              <w:t>$</w:t>
            </w:r>
          </w:p>
        </w:tc>
        <w:tc>
          <w:tcPr>
            <w:tcW w:w="82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94</w:t>
            </w:r>
          </w:p>
        </w:tc>
        <w:tc>
          <w:tcPr>
            <w:tcW w:w="160" w:type="dxa"/>
            <w:vAlign w:val="bottom"/>
          </w:tcPr>
          <w:p>
            <w:pPr>
              <w:spacing w:after="0"/>
              <w:rPr>
                <w:sz w:val="20"/>
                <w:szCs w:val="20"/>
                <w:color w:val="auto"/>
              </w:rPr>
            </w:pPr>
          </w:p>
        </w:tc>
        <w:tc>
          <w:tcPr>
            <w:tcW w:w="1060" w:type="dxa"/>
            <w:vAlign w:val="bottom"/>
          </w:tcPr>
          <w:p>
            <w:pPr>
              <w:jc w:val="right"/>
              <w:ind w:right="35"/>
              <w:spacing w:after="0"/>
              <w:rPr>
                <w:sz w:val="20"/>
                <w:szCs w:val="20"/>
                <w:color w:val="auto"/>
              </w:rPr>
            </w:pPr>
            <w:r>
              <w:rPr>
                <w:rFonts w:ascii="Times New Roman" w:cs="Times New Roman" w:eastAsia="Times New Roman" w:hAnsi="Times New Roman"/>
                <w:sz w:val="17"/>
                <w:szCs w:val="17"/>
                <w:i w:val="1"/>
                <w:iCs w:val="1"/>
                <w:color w:val="auto"/>
              </w:rPr>
              <w:t>35%</w:t>
            </w:r>
          </w:p>
        </w:tc>
        <w:tc>
          <w:tcPr>
            <w:tcW w:w="140" w:type="dxa"/>
            <w:vAlign w:val="bottom"/>
          </w:tcPr>
          <w:p>
            <w:pPr>
              <w:spacing w:after="0"/>
              <w:rPr>
                <w:sz w:val="20"/>
                <w:szCs w:val="20"/>
                <w:color w:val="auto"/>
              </w:rPr>
            </w:pPr>
          </w:p>
        </w:tc>
        <w:tc>
          <w:tcPr>
            <w:tcW w:w="240" w:type="dxa"/>
            <w:vAlign w:val="bottom"/>
          </w:tcPr>
          <w:p>
            <w:pPr>
              <w:jc w:val="right"/>
              <w:ind w:right="55"/>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840" w:type="dxa"/>
            <w:vAlign w:val="bottom"/>
          </w:tcPr>
          <w:p>
            <w:pPr>
              <w:jc w:val="right"/>
              <w:ind w:right="35"/>
              <w:spacing w:after="0"/>
              <w:rPr>
                <w:sz w:val="20"/>
                <w:szCs w:val="20"/>
                <w:color w:val="auto"/>
              </w:rPr>
            </w:pPr>
            <w:r>
              <w:rPr>
                <w:rFonts w:ascii="Times New Roman" w:cs="Times New Roman" w:eastAsia="Times New Roman" w:hAnsi="Times New Roman"/>
                <w:sz w:val="17"/>
                <w:szCs w:val="17"/>
                <w:b w:val="1"/>
                <w:bCs w:val="1"/>
                <w:color w:val="auto"/>
              </w:rPr>
              <w:t>357</w:t>
            </w:r>
          </w:p>
        </w:tc>
        <w:tc>
          <w:tcPr>
            <w:tcW w:w="140" w:type="dxa"/>
            <w:vAlign w:val="bottom"/>
          </w:tcPr>
          <w:p>
            <w:pPr>
              <w:spacing w:after="0"/>
              <w:rPr>
                <w:sz w:val="20"/>
                <w:szCs w:val="20"/>
                <w:color w:val="auto"/>
              </w:rPr>
            </w:pPr>
          </w:p>
        </w:tc>
        <w:tc>
          <w:tcPr>
            <w:tcW w:w="240" w:type="dxa"/>
            <w:vAlign w:val="bottom"/>
          </w:tcPr>
          <w:p>
            <w:pPr>
              <w:jc w:val="right"/>
              <w:ind w:right="55"/>
              <w:spacing w:after="0"/>
              <w:rPr>
                <w:sz w:val="20"/>
                <w:szCs w:val="20"/>
                <w:color w:val="auto"/>
              </w:rPr>
            </w:pPr>
            <w:r>
              <w:rPr>
                <w:rFonts w:ascii="Times New Roman" w:cs="Times New Roman" w:eastAsia="Times New Roman" w:hAnsi="Times New Roman"/>
                <w:sz w:val="17"/>
                <w:szCs w:val="17"/>
                <w:color w:val="auto"/>
                <w:w w:val="93"/>
              </w:rPr>
              <w:t>$</w:t>
            </w:r>
          </w:p>
        </w:tc>
        <w:tc>
          <w:tcPr>
            <w:tcW w:w="84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rPr>
              <w:t>262</w:t>
            </w:r>
          </w:p>
        </w:tc>
        <w:tc>
          <w:tcPr>
            <w:tcW w:w="160" w:type="dxa"/>
            <w:vAlign w:val="bottom"/>
          </w:tcPr>
          <w:p>
            <w:pPr>
              <w:spacing w:after="0"/>
              <w:rPr>
                <w:sz w:val="20"/>
                <w:szCs w:val="20"/>
                <w:color w:val="auto"/>
              </w:rPr>
            </w:pPr>
          </w:p>
        </w:tc>
        <w:tc>
          <w:tcPr>
            <w:tcW w:w="1060" w:type="dxa"/>
            <w:vAlign w:val="bottom"/>
          </w:tcPr>
          <w:p>
            <w:pPr>
              <w:jc w:val="right"/>
              <w:ind w:right="35"/>
              <w:spacing w:after="0"/>
              <w:rPr>
                <w:sz w:val="20"/>
                <w:szCs w:val="20"/>
                <w:color w:val="auto"/>
              </w:rPr>
            </w:pPr>
            <w:r>
              <w:rPr>
                <w:rFonts w:ascii="Times New Roman" w:cs="Times New Roman" w:eastAsia="Times New Roman" w:hAnsi="Times New Roman"/>
                <w:sz w:val="17"/>
                <w:szCs w:val="17"/>
                <w:i w:val="1"/>
                <w:iCs w:val="1"/>
                <w:color w:val="auto"/>
              </w:rPr>
              <w:t>37%</w:t>
            </w:r>
          </w:p>
        </w:tc>
      </w:tr>
      <w:tr>
        <w:trPr>
          <w:trHeight w:val="230"/>
        </w:trPr>
        <w:tc>
          <w:tcPr>
            <w:tcW w:w="4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Diluted earnings (loss) per common share</w:t>
            </w:r>
          </w:p>
        </w:tc>
        <w:tc>
          <w:tcPr>
            <w:tcW w:w="22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84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b w:val="1"/>
                <w:bCs w:val="1"/>
                <w:color w:val="auto"/>
              </w:rPr>
              <w:t>0.70</w:t>
            </w:r>
          </w:p>
        </w:tc>
        <w:tc>
          <w:tcPr>
            <w:tcW w:w="14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w w:val="93"/>
              </w:rPr>
              <w:t>$</w:t>
            </w:r>
          </w:p>
        </w:tc>
        <w:tc>
          <w:tcPr>
            <w:tcW w:w="82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0.46</w:t>
            </w:r>
          </w:p>
        </w:tc>
        <w:tc>
          <w:tcPr>
            <w:tcW w:w="160" w:type="dxa"/>
            <w:vAlign w:val="bottom"/>
            <w:shd w:val="clear" w:color="auto" w:fill="CCEEFF"/>
          </w:tcPr>
          <w:p>
            <w:pPr>
              <w:spacing w:after="0"/>
              <w:rPr>
                <w:sz w:val="20"/>
                <w:szCs w:val="20"/>
                <w:color w:val="auto"/>
              </w:rPr>
            </w:pPr>
          </w:p>
        </w:tc>
        <w:tc>
          <w:tcPr>
            <w:tcW w:w="106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i w:val="1"/>
                <w:iCs w:val="1"/>
                <w:color w:val="auto"/>
              </w:rPr>
              <w:t>52%</w:t>
            </w:r>
          </w:p>
        </w:tc>
        <w:tc>
          <w:tcPr>
            <w:tcW w:w="14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84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b w:val="1"/>
                <w:bCs w:val="1"/>
                <w:color w:val="auto"/>
              </w:rPr>
              <w:t>2.14</w:t>
            </w:r>
          </w:p>
        </w:tc>
        <w:tc>
          <w:tcPr>
            <w:tcW w:w="14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w w:val="93"/>
              </w:rPr>
              <w:t>$</w:t>
            </w:r>
          </w:p>
        </w:tc>
        <w:tc>
          <w:tcPr>
            <w:tcW w:w="84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rPr>
              <w:t>(5.95)</w:t>
            </w:r>
          </w:p>
        </w:tc>
        <w:tc>
          <w:tcPr>
            <w:tcW w:w="160" w:type="dxa"/>
            <w:vAlign w:val="bottom"/>
            <w:shd w:val="clear" w:color="auto" w:fill="CCEEFF"/>
          </w:tcPr>
          <w:p>
            <w:pPr>
              <w:spacing w:after="0"/>
              <w:rPr>
                <w:sz w:val="20"/>
                <w:szCs w:val="20"/>
                <w:color w:val="auto"/>
              </w:rPr>
            </w:pPr>
          </w:p>
        </w:tc>
        <w:tc>
          <w:tcPr>
            <w:tcW w:w="106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i w:val="1"/>
                <w:iCs w:val="1"/>
                <w:color w:val="auto"/>
              </w:rPr>
              <w:t>136%</w:t>
            </w:r>
          </w:p>
        </w:tc>
      </w:tr>
      <w:tr>
        <w:trPr>
          <w:trHeight w:val="231"/>
        </w:trPr>
        <w:tc>
          <w:tcPr>
            <w:tcW w:w="40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Adjusted EPS</w:t>
            </w:r>
          </w:p>
        </w:tc>
        <w:tc>
          <w:tcPr>
            <w:tcW w:w="220" w:type="dxa"/>
            <w:vAlign w:val="bottom"/>
          </w:tcPr>
          <w:p>
            <w:pPr>
              <w:jc w:val="right"/>
              <w:ind w:right="35"/>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840" w:type="dxa"/>
            <w:vAlign w:val="bottom"/>
          </w:tcPr>
          <w:p>
            <w:pPr>
              <w:jc w:val="right"/>
              <w:ind w:right="35"/>
              <w:spacing w:after="0"/>
              <w:rPr>
                <w:sz w:val="20"/>
                <w:szCs w:val="20"/>
                <w:color w:val="auto"/>
              </w:rPr>
            </w:pPr>
            <w:r>
              <w:rPr>
                <w:rFonts w:ascii="Times New Roman" w:cs="Times New Roman" w:eastAsia="Times New Roman" w:hAnsi="Times New Roman"/>
                <w:sz w:val="17"/>
                <w:szCs w:val="17"/>
                <w:b w:val="1"/>
                <w:bCs w:val="1"/>
                <w:color w:val="auto"/>
              </w:rPr>
              <w:t>0.99</w:t>
            </w:r>
          </w:p>
        </w:tc>
        <w:tc>
          <w:tcPr>
            <w:tcW w:w="140" w:type="dxa"/>
            <w:vAlign w:val="bottom"/>
          </w:tcPr>
          <w:p>
            <w:pPr>
              <w:spacing w:after="0"/>
              <w:rPr>
                <w:sz w:val="20"/>
                <w:szCs w:val="20"/>
                <w:color w:val="auto"/>
              </w:rPr>
            </w:pPr>
          </w:p>
        </w:tc>
        <w:tc>
          <w:tcPr>
            <w:tcW w:w="240" w:type="dxa"/>
            <w:vAlign w:val="bottom"/>
          </w:tcPr>
          <w:p>
            <w:pPr>
              <w:jc w:val="right"/>
              <w:ind w:right="55"/>
              <w:spacing w:after="0"/>
              <w:rPr>
                <w:sz w:val="20"/>
                <w:szCs w:val="20"/>
                <w:color w:val="auto"/>
              </w:rPr>
            </w:pPr>
            <w:r>
              <w:rPr>
                <w:rFonts w:ascii="Times New Roman" w:cs="Times New Roman" w:eastAsia="Times New Roman" w:hAnsi="Times New Roman"/>
                <w:sz w:val="17"/>
                <w:szCs w:val="17"/>
                <w:color w:val="auto"/>
                <w:w w:val="93"/>
              </w:rPr>
              <w:t>$</w:t>
            </w:r>
          </w:p>
        </w:tc>
        <w:tc>
          <w:tcPr>
            <w:tcW w:w="82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0.54</w:t>
            </w:r>
          </w:p>
        </w:tc>
        <w:tc>
          <w:tcPr>
            <w:tcW w:w="160" w:type="dxa"/>
            <w:vAlign w:val="bottom"/>
          </w:tcPr>
          <w:p>
            <w:pPr>
              <w:spacing w:after="0"/>
              <w:rPr>
                <w:sz w:val="20"/>
                <w:szCs w:val="20"/>
                <w:color w:val="auto"/>
              </w:rPr>
            </w:pPr>
          </w:p>
        </w:tc>
        <w:tc>
          <w:tcPr>
            <w:tcW w:w="1060" w:type="dxa"/>
            <w:vAlign w:val="bottom"/>
          </w:tcPr>
          <w:p>
            <w:pPr>
              <w:jc w:val="right"/>
              <w:ind w:right="35"/>
              <w:spacing w:after="0"/>
              <w:rPr>
                <w:sz w:val="20"/>
                <w:szCs w:val="20"/>
                <w:color w:val="auto"/>
              </w:rPr>
            </w:pPr>
            <w:r>
              <w:rPr>
                <w:rFonts w:ascii="Times New Roman" w:cs="Times New Roman" w:eastAsia="Times New Roman" w:hAnsi="Times New Roman"/>
                <w:sz w:val="17"/>
                <w:szCs w:val="17"/>
                <w:i w:val="1"/>
                <w:iCs w:val="1"/>
                <w:color w:val="auto"/>
              </w:rPr>
              <w:t>83%</w:t>
            </w:r>
          </w:p>
        </w:tc>
        <w:tc>
          <w:tcPr>
            <w:tcW w:w="140" w:type="dxa"/>
            <w:vAlign w:val="bottom"/>
          </w:tcPr>
          <w:p>
            <w:pPr>
              <w:spacing w:after="0"/>
              <w:rPr>
                <w:sz w:val="20"/>
                <w:szCs w:val="20"/>
                <w:color w:val="auto"/>
              </w:rPr>
            </w:pPr>
          </w:p>
        </w:tc>
        <w:tc>
          <w:tcPr>
            <w:tcW w:w="240" w:type="dxa"/>
            <w:vAlign w:val="bottom"/>
          </w:tcPr>
          <w:p>
            <w:pPr>
              <w:jc w:val="right"/>
              <w:ind w:right="55"/>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840" w:type="dxa"/>
            <w:vAlign w:val="bottom"/>
          </w:tcPr>
          <w:p>
            <w:pPr>
              <w:jc w:val="right"/>
              <w:ind w:right="35"/>
              <w:spacing w:after="0"/>
              <w:rPr>
                <w:sz w:val="20"/>
                <w:szCs w:val="20"/>
                <w:color w:val="auto"/>
              </w:rPr>
            </w:pPr>
            <w:r>
              <w:rPr>
                <w:rFonts w:ascii="Times New Roman" w:cs="Times New Roman" w:eastAsia="Times New Roman" w:hAnsi="Times New Roman"/>
                <w:sz w:val="17"/>
                <w:szCs w:val="17"/>
                <w:b w:val="1"/>
                <w:bCs w:val="1"/>
                <w:color w:val="auto"/>
              </w:rPr>
              <w:t>3.02</w:t>
            </w:r>
          </w:p>
        </w:tc>
        <w:tc>
          <w:tcPr>
            <w:tcW w:w="140" w:type="dxa"/>
            <w:vAlign w:val="bottom"/>
          </w:tcPr>
          <w:p>
            <w:pPr>
              <w:spacing w:after="0"/>
              <w:rPr>
                <w:sz w:val="20"/>
                <w:szCs w:val="20"/>
                <w:color w:val="auto"/>
              </w:rPr>
            </w:pPr>
          </w:p>
        </w:tc>
        <w:tc>
          <w:tcPr>
            <w:tcW w:w="240" w:type="dxa"/>
            <w:vAlign w:val="bottom"/>
          </w:tcPr>
          <w:p>
            <w:pPr>
              <w:jc w:val="right"/>
              <w:ind w:right="55"/>
              <w:spacing w:after="0"/>
              <w:rPr>
                <w:sz w:val="20"/>
                <w:szCs w:val="20"/>
                <w:color w:val="auto"/>
              </w:rPr>
            </w:pPr>
            <w:r>
              <w:rPr>
                <w:rFonts w:ascii="Times New Roman" w:cs="Times New Roman" w:eastAsia="Times New Roman" w:hAnsi="Times New Roman"/>
                <w:sz w:val="17"/>
                <w:szCs w:val="17"/>
                <w:color w:val="auto"/>
                <w:w w:val="93"/>
              </w:rPr>
              <w:t>$</w:t>
            </w:r>
          </w:p>
        </w:tc>
        <w:tc>
          <w:tcPr>
            <w:tcW w:w="84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rPr>
              <w:t>1.60</w:t>
            </w:r>
          </w:p>
        </w:tc>
        <w:tc>
          <w:tcPr>
            <w:tcW w:w="160" w:type="dxa"/>
            <w:vAlign w:val="bottom"/>
          </w:tcPr>
          <w:p>
            <w:pPr>
              <w:spacing w:after="0"/>
              <w:rPr>
                <w:sz w:val="20"/>
                <w:szCs w:val="20"/>
                <w:color w:val="auto"/>
              </w:rPr>
            </w:pPr>
          </w:p>
        </w:tc>
        <w:tc>
          <w:tcPr>
            <w:tcW w:w="1060" w:type="dxa"/>
            <w:vAlign w:val="bottom"/>
          </w:tcPr>
          <w:p>
            <w:pPr>
              <w:jc w:val="right"/>
              <w:ind w:right="35"/>
              <w:spacing w:after="0"/>
              <w:rPr>
                <w:sz w:val="20"/>
                <w:szCs w:val="20"/>
                <w:color w:val="auto"/>
              </w:rPr>
            </w:pPr>
            <w:r>
              <w:rPr>
                <w:rFonts w:ascii="Times New Roman" w:cs="Times New Roman" w:eastAsia="Times New Roman" w:hAnsi="Times New Roman"/>
                <w:sz w:val="17"/>
                <w:szCs w:val="17"/>
                <w:i w:val="1"/>
                <w:iCs w:val="1"/>
                <w:color w:val="auto"/>
              </w:rPr>
              <w:t>89%</w:t>
            </w:r>
          </w:p>
        </w:tc>
      </w:tr>
    </w:tbl>
    <w:p>
      <w:pPr>
        <w:spacing w:after="0" w:line="144" w:lineRule="exact"/>
        <w:rPr>
          <w:sz w:val="20"/>
          <w:szCs w:val="20"/>
          <w:color w:val="auto"/>
        </w:rPr>
      </w:pPr>
    </w:p>
    <w:p>
      <w:pPr>
        <w:ind w:left="300" w:hanging="298"/>
        <w:spacing w:after="0"/>
        <w:tabs>
          <w:tab w:leader="none" w:pos="300" w:val="left"/>
        </w:tabs>
        <w:numPr>
          <w:ilvl w:val="0"/>
          <w:numId w:val="6"/>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Includes gallons and gallon equivalents converted as described in the table below.</w:t>
      </w:r>
    </w:p>
    <w:p>
      <w:pPr>
        <w:spacing w:after="0" w:line="38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u w:val="single" w:color="auto"/>
          <w:color w:val="auto"/>
        </w:rPr>
        <w:t>Earnings Conference Call</w:t>
      </w:r>
    </w:p>
    <w:p>
      <w:pPr>
        <w:spacing w:after="0" w:line="2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9"/>
          <w:szCs w:val="19"/>
          <w:color w:val="auto"/>
        </w:rPr>
        <w:t>An investor conference call will be held today, October 29, 2026, at 5:00 PM Eastern Time to discuss our third quarter results. Participants can access the live webcast by visiting our website at ir.worldfuel.com. An on-demand replay of the webcast will be available shortly after the call.</w:t>
      </w:r>
    </w:p>
    <w:p>
      <w:pPr>
        <w:spacing w:after="0" w:line="37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u w:val="single" w:color="auto"/>
          <w:color w:val="auto"/>
        </w:rPr>
        <w:t>About World Fuel</w:t>
      </w:r>
    </w:p>
    <w:p>
      <w:pPr>
        <w:spacing w:after="0" w:line="208"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9"/>
          <w:szCs w:val="19"/>
          <w:color w:val="auto"/>
        </w:rPr>
        <w:t>Headquartered in Miami, Florida, we are a leading global provider of aviation, marine and ground-based transportation fuels and complementary services. Through an integrated global supply and logistics network, we source and distribute products and services to meet customer needs across more than 200 countries and territories throughout the world, including lower-carbon fuels to support customers' energy-transition objectives. In the United States, we also market natural gas and related solutions.</w:t>
      </w: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For more information, visit www.worldfuel.com.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118110</wp:posOffset>
            </wp:positionV>
            <wp:extent cx="214693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146935" cy="8255"/>
                    </a:xfrm>
                    <a:prstGeom prst="rect">
                      <a:avLst/>
                    </a:prstGeom>
                    <a:noFill/>
                  </pic:spPr>
                </pic:pic>
              </a:graphicData>
            </a:graphic>
          </wp:anchor>
        </w:drawing>
      </w:r>
    </w:p>
    <w:p>
      <w:pPr>
        <w:spacing w:after="0" w:line="364" w:lineRule="exact"/>
        <w:rPr>
          <w:sz w:val="20"/>
          <w:szCs w:val="20"/>
          <w:color w:val="auto"/>
        </w:rPr>
      </w:pPr>
    </w:p>
    <w:p>
      <w:pPr>
        <w:jc w:val="both"/>
        <w:ind w:firstLine="2"/>
        <w:spacing w:after="0" w:line="259" w:lineRule="auto"/>
        <w:tabs>
          <w:tab w:leader="none" w:pos="88" w:val="left"/>
        </w:tabs>
        <w:numPr>
          <w:ilvl w:val="0"/>
          <w:numId w:val="7"/>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Adjusted EPS is a non-GAAP measure that excludes from the corresponding GAAP financial measure of diluted earnings per share the effect of adjustments as described under "Non-GAAP Financial Measures". We have not provided a reconciliation of such non-GAAP guidance to the corresponding GAAP measure because we cannot predict and quantify with a reasonable degree of confidence all of the adjustments that may occur during the period.</w:t>
      </w: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2</w:t>
      </w:r>
    </w:p>
    <w:p>
      <w:pPr>
        <w:sectPr>
          <w:pgSz w:w="11900" w:h="16838" w:orient="portrait"/>
          <w:cols w:equalWidth="0" w:num="1">
            <w:col w:w="11240"/>
          </w:cols>
          <w:pgMar w:left="320" w:top="1440" w:right="339" w:bottom="1440" w:gutter="0" w:footer="0" w:header="0"/>
        </w:sectPr>
      </w:pPr>
    </w:p>
    <w:bookmarkStart w:id="5" w:name="page6"/>
    <w:bookmarkEnd w:id="5"/>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u w:val="single" w:color="auto"/>
          <w:color w:val="auto"/>
        </w:rPr>
        <w:t>Contacts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Braulio Medrano, Senior Director FP&amp;A and Investor Relations</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investor@worldfuel.com</w:t>
      </w:r>
    </w:p>
    <w:p>
      <w:pPr>
        <w:spacing w:after="0" w:line="39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u w:val="single" w:color="auto"/>
          <w:color w:val="auto"/>
        </w:rPr>
        <w:t>Definitions</w:t>
      </w:r>
    </w:p>
    <w:p>
      <w:pPr>
        <w:spacing w:after="0" w:line="208" w:lineRule="exact"/>
        <w:rPr>
          <w:sz w:val="20"/>
          <w:szCs w:val="20"/>
          <w:color w:val="auto"/>
        </w:rPr>
      </w:pPr>
    </w:p>
    <w:p>
      <w:pPr>
        <w:ind w:left="620" w:hanging="310"/>
        <w:spacing w:after="0" w:line="280" w:lineRule="auto"/>
        <w:tabs>
          <w:tab w:leader="none" w:pos="609" w:val="left"/>
        </w:tabs>
        <w:numPr>
          <w:ilvl w:val="0"/>
          <w:numId w:val="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World Kinect Corporation (the "Company"), along with its consolidated subsidiaries, is referred to collectively as "World Kinect," "World Fuel," "we," "our," and "us."</w:t>
      </w:r>
    </w:p>
    <w:p>
      <w:pPr>
        <w:spacing w:after="0" w:line="53" w:lineRule="exact"/>
        <w:rPr>
          <w:rFonts w:ascii="Times New Roman" w:cs="Times New Roman" w:eastAsia="Times New Roman" w:hAnsi="Times New Roman"/>
          <w:sz w:val="19"/>
          <w:szCs w:val="19"/>
          <w:color w:val="auto"/>
        </w:rPr>
      </w:pPr>
    </w:p>
    <w:p>
      <w:pPr>
        <w:ind w:left="620" w:hanging="310"/>
        <w:spacing w:after="0" w:line="266" w:lineRule="auto"/>
        <w:tabs>
          <w:tab w:leader="none" w:pos="609" w:val="left"/>
        </w:tabs>
        <w:numPr>
          <w:ilvl w:val="0"/>
          <w:numId w:val="8"/>
        </w:numPr>
        <w:rPr>
          <w:rFonts w:ascii="Times New Roman" w:cs="Times New Roman" w:eastAsia="Times New Roman" w:hAnsi="Times New Roman"/>
          <w:sz w:val="15"/>
          <w:szCs w:val="15"/>
          <w:color w:val="auto"/>
        </w:rPr>
      </w:pPr>
      <w:r>
        <w:rPr>
          <w:rFonts w:ascii="Times New Roman" w:cs="Times New Roman" w:eastAsia="Times New Roman" w:hAnsi="Times New Roman"/>
          <w:sz w:val="19"/>
          <w:szCs w:val="19"/>
          <w:color w:val="auto"/>
        </w:rPr>
        <w:t>"Net income (loss)" means net income (loss) attributable to World Kinect as presented in the Consolidated Statements of Income and Comprehensive Income.</w:t>
      </w:r>
    </w:p>
    <w:p>
      <w:pPr>
        <w:spacing w:after="0" w:line="66" w:lineRule="exact"/>
        <w:rPr>
          <w:rFonts w:ascii="Times New Roman" w:cs="Times New Roman" w:eastAsia="Times New Roman" w:hAnsi="Times New Roman"/>
          <w:sz w:val="15"/>
          <w:szCs w:val="15"/>
          <w:color w:val="auto"/>
        </w:rPr>
      </w:pPr>
    </w:p>
    <w:p>
      <w:pPr>
        <w:ind w:left="600" w:hanging="290"/>
        <w:spacing w:after="0"/>
        <w:tabs>
          <w:tab w:leader="none" w:pos="600" w:val="left"/>
        </w:tabs>
        <w:numPr>
          <w:ilvl w:val="0"/>
          <w:numId w:val="8"/>
        </w:numPr>
        <w:rPr>
          <w:rFonts w:ascii="Times New Roman" w:cs="Times New Roman" w:eastAsia="Times New Roman" w:hAnsi="Times New Roman"/>
          <w:sz w:val="15"/>
          <w:szCs w:val="15"/>
          <w:i w:val="1"/>
          <w:iCs w:val="1"/>
          <w:color w:val="auto"/>
          <w:strike w:val="1"/>
        </w:rPr>
      </w:pPr>
      <w:r>
        <w:rPr>
          <w:rFonts w:ascii="Times New Roman" w:cs="Times New Roman" w:eastAsia="Times New Roman" w:hAnsi="Times New Roman"/>
          <w:sz w:val="19"/>
          <w:szCs w:val="19"/>
          <w:color w:val="auto"/>
        </w:rPr>
        <w:t>"Operating margin" means income (loss) from operations as a percentage of gross profit.</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u w:val="single" w:color="auto"/>
          <w:color w:val="auto"/>
        </w:rPr>
        <w:t>Non-GAAP Financial Measures</w:t>
      </w:r>
    </w:p>
    <w:p>
      <w:pPr>
        <w:spacing w:after="0" w:line="221"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9"/>
          <w:szCs w:val="19"/>
          <w:color w:val="auto"/>
        </w:rPr>
        <w:t>We believe that the non-GAAP financial measures, when considered in conjunction with our financial information prepared in accordance with GAAP, are useful to investors to further aid in evaluating our ongoing financial performance and to provide supplemental information to our GAAP results.</w:t>
      </w:r>
    </w:p>
    <w:p>
      <w:pPr>
        <w:spacing w:after="0" w:line="74"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9"/>
          <w:szCs w:val="19"/>
          <w:color w:val="auto"/>
        </w:rPr>
        <w:t>Non-GAAP financial measures should not be considered in isolation from, or as a substitute for, financial information prepared in accordance with GAAP. In addition, our presentation of the non-GAAP financial measures may not be comparable to the presentation of such metrics by other companies.</w:t>
      </w:r>
    </w:p>
    <w:p>
      <w:pPr>
        <w:spacing w:after="0" w:line="74"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9"/>
          <w:szCs w:val="19"/>
          <w:color w:val="auto"/>
        </w:rPr>
        <w:t>Our non-GAAP financial measures exclude acquisition and divestiture related expenses, costs associated with restructuring activities (including all costs associated with exit activities), impairments, gains or losses on the extinguishment of debt, gains or losses on sale of businesses, integration costs associated with our acquisitions, and non-operating legal settlements, primarily because we do not believe they are reflective of our core operating results. We also exclude costs associated with a previously disclosed erroneous bid made in the Finnish power market (the "Finnish bid error") that resulted in the extraordinary losses and related penalties and fees, as well as operating results associated with certain non-core businesses divested or otherwise in the process of being exited or wound-down for periods following management's determination that the operating results of such businesses are no longer indicative of the Company's ongoing operations ("non-core divestitures and business exits"). While these non-core divestitures and business exits do not qualify for or represent discontinued operations under the applicable accounting guidance because they do not represent a strategic shift that will have a major effect on our operations and financial results, we believe that excluding the operating results associated with this activity enhances investors' understanding of the profitability of our remaining businesses.</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We use the following non-GAAP measures:</w:t>
      </w:r>
    </w:p>
    <w:p>
      <w:pPr>
        <w:spacing w:after="0" w:line="19" w:lineRule="exact"/>
        <w:rPr>
          <w:sz w:val="20"/>
          <w:szCs w:val="20"/>
          <w:color w:val="auto"/>
        </w:rPr>
      </w:pPr>
    </w:p>
    <w:p>
      <w:pPr>
        <w:jc w:val="both"/>
        <w:ind w:left="620" w:hanging="310"/>
        <w:spacing w:after="0" w:line="268" w:lineRule="auto"/>
        <w:tabs>
          <w:tab w:leader="none" w:pos="609"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Adjusted net income attributable to World Kinect ("Adjusted net income") </w:t>
      </w:r>
      <w:r>
        <w:rPr>
          <w:rFonts w:ascii="Times New Roman" w:cs="Times New Roman" w:eastAsia="Times New Roman" w:hAnsi="Times New Roman"/>
          <w:sz w:val="18"/>
          <w:szCs w:val="18"/>
          <w:color w:val="auto"/>
        </w:rPr>
        <w:t>is defined as net income excluding the impact of acquisition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divestiture related expenses, costs associated with restructuring activities (including all costs associated with exit activities), impairments, gains or losses on the extinguishment of debt, gains or losses on sale of businesses, integration costs, non-operating legal settlements, costs associated with the Finnish bid error, and operating results associated with non-core divestitures and business exits.</w:t>
      </w:r>
    </w:p>
    <w:p>
      <w:pPr>
        <w:spacing w:after="0" w:line="63" w:lineRule="exact"/>
        <w:rPr>
          <w:rFonts w:ascii="Times New Roman" w:cs="Times New Roman" w:eastAsia="Times New Roman" w:hAnsi="Times New Roman"/>
          <w:sz w:val="18"/>
          <w:szCs w:val="18"/>
          <w:color w:val="auto"/>
        </w:rPr>
      </w:pPr>
    </w:p>
    <w:p>
      <w:pPr>
        <w:jc w:val="both"/>
        <w:ind w:left="620" w:hanging="310"/>
        <w:spacing w:after="0" w:line="253" w:lineRule="auto"/>
        <w:tabs>
          <w:tab w:leader="none" w:pos="609" w:val="left"/>
        </w:tabs>
        <w:numPr>
          <w:ilvl w:val="0"/>
          <w:numId w:val="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color w:val="auto"/>
        </w:rPr>
        <w:t xml:space="preserve">Adjusted diluted earnings per common share ("Adjusted EPS") </w:t>
      </w:r>
      <w:r>
        <w:rPr>
          <w:rFonts w:ascii="Times New Roman" w:cs="Times New Roman" w:eastAsia="Times New Roman" w:hAnsi="Times New Roman"/>
          <w:sz w:val="19"/>
          <w:szCs w:val="19"/>
          <w:color w:val="auto"/>
        </w:rPr>
        <w:t>is computed by dividing adjusted net income by the sum of the weighted</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average number of shares of common stock outstanding for the period and the number of additional shares of common stock that would have been outstanding if our outstanding potentially dilutive securities had been issued. For the purpose of calculating Adjusted EPS, the weighted average number of shares of common stock outstanding is adjusted to include the convertible note hedges. Potentially dilutive securities include share-based compensation awards, such as non-vested restricted stock units, performance stock units where the performance requirements have been met, settled stock appreciation rights awards, and the convertible notes.</w:t>
      </w: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3</w:t>
      </w:r>
    </w:p>
    <w:p>
      <w:pPr>
        <w:sectPr>
          <w:pgSz w:w="11900" w:h="16838" w:orient="portrait"/>
          <w:cols w:equalWidth="0" w:num="1">
            <w:col w:w="11240"/>
          </w:cols>
          <w:pgMar w:left="320" w:top="1440" w:right="339" w:bottom="1440" w:gutter="0" w:footer="0" w:header="0"/>
        </w:sectPr>
      </w:pPr>
    </w:p>
    <w:bookmarkStart w:id="6" w:name="page7"/>
    <w:bookmarkEnd w:id="6"/>
    <w:p>
      <w:pPr>
        <w:jc w:val="both"/>
        <w:ind w:left="620" w:hanging="310"/>
        <w:spacing w:after="0" w:line="254" w:lineRule="auto"/>
        <w:tabs>
          <w:tab w:leader="none" w:pos="609" w:val="left"/>
        </w:tabs>
        <w:numPr>
          <w:ilvl w:val="0"/>
          <w:numId w:val="1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color w:val="auto"/>
        </w:rPr>
        <w:t xml:space="preserve">Adjusted earnings before interest, taxes, depreciation and amortization ("Adjusted EBITDA") </w:t>
      </w:r>
      <w:r>
        <w:rPr>
          <w:rFonts w:ascii="Times New Roman" w:cs="Times New Roman" w:eastAsia="Times New Roman" w:hAnsi="Times New Roman"/>
          <w:sz w:val="19"/>
          <w:szCs w:val="19"/>
          <w:color w:val="auto"/>
        </w:rPr>
        <w:t>is defined as net income including</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noncontrolling interest and excluding the impact of interest, income taxes, and depreciation and amortization, in addition to acquisition and divestiture related expenses, costs associated with restructuring activities (including all costs associated with exit activities), impairments, gains or losses on sale of businesses, integration costs, non-operating legal settlements, costs associated with the Finnish bid error, and operating results associated with non-core divestitures and business exits.</w:t>
      </w:r>
    </w:p>
    <w:p>
      <w:pPr>
        <w:spacing w:after="0" w:line="73" w:lineRule="exact"/>
        <w:rPr>
          <w:rFonts w:ascii="Times New Roman" w:cs="Times New Roman" w:eastAsia="Times New Roman" w:hAnsi="Times New Roman"/>
          <w:sz w:val="19"/>
          <w:szCs w:val="19"/>
          <w:color w:val="auto"/>
        </w:rPr>
      </w:pPr>
    </w:p>
    <w:p>
      <w:pPr>
        <w:jc w:val="both"/>
        <w:ind w:left="620" w:hanging="310"/>
        <w:spacing w:after="0" w:line="261" w:lineRule="auto"/>
        <w:tabs>
          <w:tab w:leader="none" w:pos="609" w:val="left"/>
        </w:tabs>
        <w:numPr>
          <w:ilvl w:val="0"/>
          <w:numId w:val="1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color w:val="auto"/>
        </w:rPr>
        <w:t xml:space="preserve">Adjusted income from operations </w:t>
      </w:r>
      <w:r>
        <w:rPr>
          <w:rFonts w:ascii="Times New Roman" w:cs="Times New Roman" w:eastAsia="Times New Roman" w:hAnsi="Times New Roman"/>
          <w:sz w:val="19"/>
          <w:szCs w:val="19"/>
          <w:color w:val="auto"/>
        </w:rPr>
        <w:t>is defined as income (loss) from operations excluding the impact of acquisition and divestiture related</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expenses, costs associated with restructuring activities (including all costs associated with exit activities), impairments, integration costs, costs associated with the Finnish bid error, and operating results associated with non-core divestitures and business exits.</w:t>
      </w:r>
    </w:p>
    <w:p>
      <w:pPr>
        <w:spacing w:after="0" w:line="68" w:lineRule="exact"/>
        <w:rPr>
          <w:rFonts w:ascii="Times New Roman" w:cs="Times New Roman" w:eastAsia="Times New Roman" w:hAnsi="Times New Roman"/>
          <w:sz w:val="19"/>
          <w:szCs w:val="19"/>
          <w:color w:val="auto"/>
        </w:rPr>
      </w:pPr>
    </w:p>
    <w:p>
      <w:pPr>
        <w:ind w:left="620" w:hanging="310"/>
        <w:spacing w:after="0" w:line="270" w:lineRule="auto"/>
        <w:tabs>
          <w:tab w:leader="none" w:pos="609" w:val="left"/>
        </w:tabs>
        <w:numPr>
          <w:ilvl w:val="0"/>
          <w:numId w:val="10"/>
        </w:numPr>
        <w:rPr>
          <w:rFonts w:ascii="Times New Roman" w:cs="Times New Roman" w:eastAsia="Times New Roman" w:hAnsi="Times New Roman"/>
          <w:sz w:val="15"/>
          <w:szCs w:val="15"/>
          <w:i w:val="1"/>
          <w:iCs w:val="1"/>
          <w:color w:val="auto"/>
          <w:strike w:val="1"/>
        </w:rPr>
      </w:pPr>
      <w:r>
        <w:rPr>
          <w:rFonts w:ascii="Times New Roman" w:cs="Times New Roman" w:eastAsia="Times New Roman" w:hAnsi="Times New Roman"/>
          <w:sz w:val="19"/>
          <w:szCs w:val="19"/>
          <w:b w:val="1"/>
          <w:bCs w:val="1"/>
          <w:color w:val="auto"/>
        </w:rPr>
        <w:t xml:space="preserve">Adjusted income from operations as a percentage of gross profit ("Adjusted operating margin") </w:t>
      </w:r>
      <w:r>
        <w:rPr>
          <w:rFonts w:ascii="Times New Roman" w:cs="Times New Roman" w:eastAsia="Times New Roman" w:hAnsi="Times New Roman"/>
          <w:sz w:val="19"/>
          <w:szCs w:val="19"/>
          <w:color w:val="auto"/>
        </w:rPr>
        <w:t>is computed by dividing Adjusted</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income from operations by Adjusted gross profit.</w:t>
      </w:r>
    </w:p>
    <w:p>
      <w:pPr>
        <w:spacing w:after="0" w:line="59" w:lineRule="exact"/>
        <w:rPr>
          <w:rFonts w:ascii="Times New Roman" w:cs="Times New Roman" w:eastAsia="Times New Roman" w:hAnsi="Times New Roman"/>
          <w:sz w:val="15"/>
          <w:szCs w:val="15"/>
          <w:i w:val="1"/>
          <w:iCs w:val="1"/>
          <w:color w:val="auto"/>
          <w:strike w:val="1"/>
        </w:rPr>
      </w:pPr>
    </w:p>
    <w:p>
      <w:pPr>
        <w:jc w:val="both"/>
        <w:ind w:left="620" w:hanging="310"/>
        <w:spacing w:after="0" w:line="261" w:lineRule="auto"/>
        <w:tabs>
          <w:tab w:leader="none" w:pos="609" w:val="left"/>
        </w:tabs>
        <w:numPr>
          <w:ilvl w:val="0"/>
          <w:numId w:val="1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color w:val="auto"/>
        </w:rPr>
        <w:t xml:space="preserve">Adjusted operating expenses </w:t>
      </w:r>
      <w:r>
        <w:rPr>
          <w:rFonts w:ascii="Times New Roman" w:cs="Times New Roman" w:eastAsia="Times New Roman" w:hAnsi="Times New Roman"/>
          <w:sz w:val="19"/>
          <w:szCs w:val="19"/>
          <w:color w:val="auto"/>
        </w:rPr>
        <w:t>is defined as operating expenses excluding the impact of acquisition and divestiture related expenses, costs</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associated with restructuring activities (including all costs associated with exit activities), impairments, integration costs, costs associated with the Finnish bid error, and operating results associated with non-core divestitures and business exits.</w:t>
      </w:r>
    </w:p>
    <w:p>
      <w:pPr>
        <w:spacing w:after="0" w:line="68" w:lineRule="exact"/>
        <w:rPr>
          <w:rFonts w:ascii="Times New Roman" w:cs="Times New Roman" w:eastAsia="Times New Roman" w:hAnsi="Times New Roman"/>
          <w:sz w:val="19"/>
          <w:szCs w:val="19"/>
          <w:color w:val="auto"/>
        </w:rPr>
      </w:pPr>
    </w:p>
    <w:p>
      <w:pPr>
        <w:ind w:left="620" w:hanging="310"/>
        <w:spacing w:after="0" w:line="270" w:lineRule="auto"/>
        <w:tabs>
          <w:tab w:leader="none" w:pos="609" w:val="left"/>
        </w:tabs>
        <w:numPr>
          <w:ilvl w:val="0"/>
          <w:numId w:val="1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color w:val="auto"/>
        </w:rPr>
        <w:t xml:space="preserve">Adjusted gross profit </w:t>
      </w:r>
      <w:r>
        <w:rPr>
          <w:rFonts w:ascii="Times New Roman" w:cs="Times New Roman" w:eastAsia="Times New Roman" w:hAnsi="Times New Roman"/>
          <w:sz w:val="19"/>
          <w:szCs w:val="19"/>
          <w:color w:val="auto"/>
        </w:rPr>
        <w:t>is defined as gross profit excluding the impact of costs associated with the Finnish bid error and operating results</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associated with non-core divestitures and business exits.</w:t>
      </w:r>
    </w:p>
    <w:p>
      <w:pPr>
        <w:spacing w:after="0" w:line="59" w:lineRule="exact"/>
        <w:rPr>
          <w:rFonts w:ascii="Times New Roman" w:cs="Times New Roman" w:eastAsia="Times New Roman" w:hAnsi="Times New Roman"/>
          <w:sz w:val="19"/>
          <w:szCs w:val="19"/>
          <w:color w:val="auto"/>
        </w:rPr>
      </w:pPr>
    </w:p>
    <w:p>
      <w:pPr>
        <w:ind w:left="600" w:hanging="290"/>
        <w:spacing w:after="0"/>
        <w:tabs>
          <w:tab w:leader="none" w:pos="600" w:val="left"/>
        </w:tabs>
        <w:numPr>
          <w:ilvl w:val="0"/>
          <w:numId w:val="1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color w:val="auto"/>
        </w:rPr>
        <w:t xml:space="preserve">Free cash flow </w:t>
      </w:r>
      <w:r>
        <w:rPr>
          <w:rFonts w:ascii="Times New Roman" w:cs="Times New Roman" w:eastAsia="Times New Roman" w:hAnsi="Times New Roman"/>
          <w:sz w:val="19"/>
          <w:szCs w:val="19"/>
          <w:color w:val="auto"/>
        </w:rPr>
        <w:t>is defined as operating cash flow minus total capital expenditures.</w:t>
      </w:r>
    </w:p>
    <w:p>
      <w:pPr>
        <w:spacing w:after="0" w:line="11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9"/>
          <w:szCs w:val="19"/>
          <w:color w:val="auto"/>
        </w:rPr>
        <w:t>Investors are encouraged to review the reconciliation of these non-GAAP financial measures to their most directly comparable GAAP financial measures in this press release and on our website.</w:t>
      </w:r>
    </w:p>
    <w:p>
      <w:pPr>
        <w:spacing w:after="0" w:line="37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u w:val="single" w:color="auto"/>
          <w:color w:val="auto"/>
        </w:rPr>
        <w:t>Information Relating to Forward-Looking Statements</w:t>
      </w:r>
    </w:p>
    <w:p>
      <w:pPr>
        <w:spacing w:after="0" w:line="208" w:lineRule="exact"/>
        <w:rPr>
          <w:sz w:val="20"/>
          <w:szCs w:val="20"/>
          <w:color w:val="auto"/>
        </w:rPr>
      </w:pPr>
    </w:p>
    <w:p>
      <w:pPr>
        <w:jc w:val="both"/>
        <w:spacing w:after="0" w:line="232" w:lineRule="auto"/>
        <w:rPr>
          <w:sz w:val="20"/>
          <w:szCs w:val="20"/>
          <w:color w:val="auto"/>
        </w:rPr>
      </w:pPr>
      <w:r>
        <w:rPr>
          <w:rFonts w:ascii="Times New Roman" w:cs="Times New Roman" w:eastAsia="Times New Roman" w:hAnsi="Times New Roman"/>
          <w:sz w:val="19"/>
          <w:szCs w:val="19"/>
          <w:color w:val="auto"/>
        </w:rPr>
        <w:t>This release includes forward-looking statements within the meaning of the Private Securities Litigation Reform Act of 1995. The forward-looking statements include, without limitation, any statement that may predict, forecast, indicate or imply future results, performance or achievements, and may contain the words "believe," "expect," "estimate," "project," "could," "conviction," "would," "will," "continue," "future," "may," "outlook," "undertake," "anticipated," "forecast," "forward," "guidance," "predict," "expectation," or words or phrases of similar meaning. Specifically, this release includes forward-looking statements regarding our future performance and geopolitical and economic conditions in the markets in which we operate. Our forward-looking statements are qualified in their entirety by cautionary statements and risk factor disclosures contained in our Securities and Exchange Commission ("SEC") filings, including our most recent Annual Report on Form 10-K filed with the SEC. Our actual results may differ materially from the future results, performance or achievements expressed or implied by the forward-looking statements. Important factors that could cause actual results to differ materially from the results and events anticipated or implied by such forward-looking statements include, but are not limited to: customer and counterparty creditworthiness and our ability to collect accounts receivable and settle derivative contracts; changes in the market prices of, or an unexpected shortage or disruption in the supply of, energy or commodities or extremely high or low fuel prices that continue for an extended period of time; adverse conditions in the industries in which our customers operate; our inability to effectively mitigate certain financial risks and other risks associated with derivatives and our physical fuel products; changes in the political, economic or regulatory environment generally and in the markets in which we operate, including as a result of the current conflicts in Middle East and Eastern Europe; our ability to achieve the expected level of benefit from our restructuring activities and cost reduction initiatives; relationships with our employees and potential labor disputes associated with employees covered by collective bargaining agreements; our failure to comply with restrictions and covenants governing our outstanding indebtedness; the impact of cyber, AI and other information technology or security related incidents on us, our customers or other parties; the imposition of tariffs or retaliatory tariffs and other trade measures, or renegotiation of existing trade arrangements; greenhouse gas reduction programs and other environmental and climate change legislation adopted by governments around the world, including cap and trade regimes, carbon taxes, increased efficiency standards and mandates for renewable energy, and increased scrutiny on environmental and carbon offset credits, each of which could increase our operating and compliance costs as well as adversely impact our sales of fuel products; changes in credit terms extended to us</w:t>
      </w:r>
    </w:p>
    <w:p>
      <w:pPr>
        <w:spacing w:after="0" w:line="3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4</w:t>
      </w:r>
    </w:p>
    <w:p>
      <w:pPr>
        <w:sectPr>
          <w:pgSz w:w="11900" w:h="16838" w:orient="portrait"/>
          <w:cols w:equalWidth="0" w:num="1">
            <w:col w:w="11240"/>
          </w:cols>
          <w:pgMar w:left="320" w:top="1293" w:right="339" w:bottom="1440" w:gutter="0" w:footer="0" w:header="0"/>
        </w:sectPr>
      </w:pPr>
    </w:p>
    <w:bookmarkStart w:id="7" w:name="page8"/>
    <w:bookmarkEnd w:id="7"/>
    <w:p>
      <w:pPr>
        <w:jc w:val="both"/>
        <w:spacing w:after="0" w:line="232" w:lineRule="auto"/>
        <w:rPr>
          <w:sz w:val="20"/>
          <w:szCs w:val="20"/>
          <w:color w:val="auto"/>
        </w:rPr>
      </w:pPr>
      <w:r>
        <w:rPr>
          <w:rFonts w:ascii="Times New Roman" w:cs="Times New Roman" w:eastAsia="Times New Roman" w:hAnsi="Times New Roman"/>
          <w:sz w:val="19"/>
          <w:szCs w:val="19"/>
          <w:color w:val="auto"/>
        </w:rPr>
        <w:t>from our suppliers; non-performance of suppliers on their sale commitments and customers on their purchase commitments; non-performance of third-party service providers; our ability to effectively integrate and derive benefits from acquired businesses or fully realize the anticipated benefits of our acquisitions, divestitures and other strategic transactions; our ability to effectively complete divestitures in accordance with anticipated timing; our ability to meet financial forecasts associated with our operating plan; lower than expected cash flows and revenues, which could impair our ability to realize the value of recorded intangible assets and goodwill; the availability of cash and sufficient liquidity to fund our working capital and strategic investment needs; currency exchange fluctuations; inflationary pressures and their impact on our customers or the global economy, including sudden or significant increases in interest rates or a global recession; our ability to effectively leverage technology and operating systems and realize the anticipated benefits; the proliferation of alternative fuel which could result in lower global demand for certain energy sources; failure to meet fuel and other product specifications agreed with our customers; environmental and other risks associated with the storage, transportation and delivery of petroleum products; reputational harm from adverse publicity arising out of spills, environmental contamination or public perception about the impacts on climate change by us or other companies in our industry; risks associated with operating in high-risk locations, including supply disruptions, border or route closures and other logistical difficulties that arise when working in these areas; uninsured or underinsured losses; seasonal variability that adversely affects our revenues and operating results, as well as the impact of natural disasters, such as earthquakes, hurricanes and wildfires; pandemics, terrorism, global conflicts, power outages, and other events that could impact demand for fuel; declines in the value and liquidity of cash equivalents and investments; our ability to retain and attract senior management and other key employees; changes in U.S. or foreign tax laws, interpretations of such laws, changes in the mix of taxable income among different tax jurisdictions, or adverse results of tax audits, assessments, or disputes; our failure to generate sufficient future taxable income in jurisdictions with material deferred tax assets and net operating loss carryforwards; changes in multilateral conventions, treaties, tariffs and trade measures or other arrangements between or among sovereign nations; our ability to comply with U.S. and international laws and regulations, including those related to anti-corruption, economic sanction programs and environmental matters; the outcome of litigation, regulatory investigations and other legal matters, including the associated legal and other costs; and other risks described from time to time in our SEC filings. New risks emerge from time to time and it is not possible for management to predict all such risk factors or to assess the impact of such risks on our business or the extent to which any factor may cause actual results to differ materially from those contained in any forward-looking statement. Further, forward-looking statements speak only as of the date they are made. Accordingly, we undertake no obligation to publicly update or revise any forward-looking statements, whether as a result of new information, changes in expectations, future events, or otherwise, except as required by law.</w:t>
      </w:r>
    </w:p>
    <w:p>
      <w:pPr>
        <w:spacing w:after="0" w:line="3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 Some amounts in this press release may not add due to rounding. All percentages have been calculated using unrounded amounts --</w:t>
      </w: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5</w:t>
      </w:r>
    </w:p>
    <w:p>
      <w:pPr>
        <w:sectPr>
          <w:pgSz w:w="11900" w:h="16838" w:orient="portrait"/>
          <w:cols w:equalWidth="0" w:num="1">
            <w:col w:w="11240"/>
          </w:cols>
          <w:pgMar w:left="320" w:top="1297" w:right="339" w:bottom="1440" w:gutter="0" w:footer="0" w:header="0"/>
        </w:sectPr>
      </w:pPr>
    </w:p>
    <w:bookmarkStart w:id="8" w:name="page9"/>
    <w:bookmarkEnd w:id="8"/>
    <w:p>
      <w:pPr>
        <w:jc w:val="center"/>
        <w:spacing w:after="0"/>
        <w:rPr>
          <w:sz w:val="20"/>
          <w:szCs w:val="20"/>
          <w:color w:val="auto"/>
        </w:rPr>
      </w:pPr>
      <w:r>
        <w:rPr>
          <w:rFonts w:ascii="Times New Roman" w:cs="Times New Roman" w:eastAsia="Times New Roman" w:hAnsi="Times New Roman"/>
          <w:sz w:val="17"/>
          <w:szCs w:val="17"/>
          <w:b w:val="1"/>
          <w:bCs w:val="1"/>
          <w:color w:val="auto"/>
        </w:rPr>
        <w:t>WORLD KINECT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CONDENSED CONSOLIDATED BALANCE SHEETS</w:t>
      </w:r>
    </w:p>
    <w:p>
      <w:pPr>
        <w:spacing w:after="0" w:line="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7"/>
          <w:szCs w:val="17"/>
          <w:color w:val="auto"/>
        </w:rPr>
        <w:t>(Unaudited - In millions, except per share data)</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73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40" w:type="dxa"/>
            <w:vAlign w:val="bottom"/>
            <w:gridSpan w:val="2"/>
          </w:tcPr>
          <w:p>
            <w:pPr>
              <w:ind w:left="60"/>
              <w:spacing w:after="0"/>
              <w:rPr>
                <w:sz w:val="20"/>
                <w:szCs w:val="20"/>
                <w:color w:val="auto"/>
              </w:rPr>
            </w:pPr>
            <w:r>
              <w:rPr>
                <w:rFonts w:ascii="Times New Roman" w:cs="Times New Roman" w:eastAsia="Times New Roman" w:hAnsi="Times New Roman"/>
                <w:sz w:val="17"/>
                <w:szCs w:val="17"/>
                <w:b w:val="1"/>
                <w:bCs w:val="1"/>
                <w:color w:val="auto"/>
              </w:rPr>
              <w:t>September 30, 2026</w:t>
            </w:r>
          </w:p>
        </w:tc>
        <w:tc>
          <w:tcPr>
            <w:tcW w:w="160" w:type="dxa"/>
            <w:vAlign w:val="bottom"/>
          </w:tcPr>
          <w:p>
            <w:pPr>
              <w:spacing w:after="0"/>
              <w:rPr>
                <w:sz w:val="19"/>
                <w:szCs w:val="19"/>
                <w:color w:val="auto"/>
              </w:rPr>
            </w:pPr>
          </w:p>
        </w:tc>
        <w:tc>
          <w:tcPr>
            <w:tcW w:w="1700" w:type="dxa"/>
            <w:vAlign w:val="bottom"/>
          </w:tcPr>
          <w:p>
            <w:pPr>
              <w:jc w:val="right"/>
              <w:ind w:right="155"/>
              <w:spacing w:after="0"/>
              <w:rPr>
                <w:sz w:val="20"/>
                <w:szCs w:val="20"/>
                <w:color w:val="auto"/>
              </w:rPr>
            </w:pPr>
            <w:r>
              <w:rPr>
                <w:rFonts w:ascii="Times New Roman" w:cs="Times New Roman" w:eastAsia="Times New Roman" w:hAnsi="Times New Roman"/>
                <w:sz w:val="17"/>
                <w:szCs w:val="17"/>
                <w:b w:val="1"/>
                <w:bCs w:val="1"/>
                <w:color w:val="auto"/>
              </w:rPr>
              <w:t>December 31, 2025</w:t>
            </w:r>
          </w:p>
        </w:tc>
      </w:tr>
      <w:tr>
        <w:trPr>
          <w:trHeight w:val="210"/>
        </w:trPr>
        <w:tc>
          <w:tcPr>
            <w:tcW w:w="73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Assets:</w:t>
            </w:r>
          </w:p>
        </w:tc>
        <w:tc>
          <w:tcPr>
            <w:tcW w:w="160" w:type="dxa"/>
            <w:vAlign w:val="bottom"/>
            <w:tcBorders>
              <w:top w:val="single" w:sz="8" w:color="auto"/>
            </w:tcBorders>
            <w:shd w:val="clear" w:color="auto" w:fill="CCEEFF"/>
          </w:tcPr>
          <w:p>
            <w:pPr>
              <w:spacing w:after="0"/>
              <w:rPr>
                <w:sz w:val="18"/>
                <w:szCs w:val="18"/>
                <w:color w:val="auto"/>
              </w:rPr>
            </w:pPr>
          </w:p>
        </w:tc>
        <w:tc>
          <w:tcPr>
            <w:tcW w:w="170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700" w:type="dxa"/>
            <w:vAlign w:val="bottom"/>
            <w:tcBorders>
              <w:top w:val="single" w:sz="8" w:color="auto"/>
            </w:tcBorders>
            <w:shd w:val="clear" w:color="auto" w:fill="CCEEFF"/>
          </w:tcPr>
          <w:p>
            <w:pPr>
              <w:spacing w:after="0"/>
              <w:rPr>
                <w:sz w:val="18"/>
                <w:szCs w:val="18"/>
                <w:color w:val="auto"/>
              </w:rPr>
            </w:pPr>
          </w:p>
        </w:tc>
      </w:tr>
      <w:tr>
        <w:trPr>
          <w:trHeight w:val="230"/>
        </w:trPr>
        <w:tc>
          <w:tcPr>
            <w:tcW w:w="73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Current assets:</w:t>
            </w:r>
          </w:p>
        </w:tc>
        <w:tc>
          <w:tcPr>
            <w:tcW w:w="16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700" w:type="dxa"/>
            <w:vAlign w:val="bottom"/>
          </w:tcPr>
          <w:p>
            <w:pPr>
              <w:spacing w:after="0"/>
              <w:rPr>
                <w:sz w:val="20"/>
                <w:szCs w:val="20"/>
                <w:color w:val="auto"/>
              </w:rPr>
            </w:pPr>
          </w:p>
        </w:tc>
      </w:tr>
      <w:tr>
        <w:trPr>
          <w:trHeight w:val="230"/>
        </w:trPr>
        <w:tc>
          <w:tcPr>
            <w:tcW w:w="73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Cash and cash equivalents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217.9</w:t>
            </w:r>
          </w:p>
        </w:tc>
        <w:tc>
          <w:tcPr>
            <w:tcW w:w="14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193.5</w:t>
            </w:r>
          </w:p>
        </w:tc>
      </w:tr>
      <w:tr>
        <w:trPr>
          <w:trHeight w:val="179"/>
        </w:trPr>
        <w:tc>
          <w:tcPr>
            <w:tcW w:w="7380" w:type="dxa"/>
            <w:vAlign w:val="bottom"/>
          </w:tcPr>
          <w:p>
            <w:pPr>
              <w:ind w:left="140"/>
              <w:spacing w:after="0" w:line="180" w:lineRule="exact"/>
              <w:rPr>
                <w:sz w:val="20"/>
                <w:szCs w:val="20"/>
                <w:color w:val="auto"/>
              </w:rPr>
            </w:pPr>
            <w:r>
              <w:rPr>
                <w:rFonts w:ascii="Times New Roman" w:cs="Times New Roman" w:eastAsia="Times New Roman" w:hAnsi="Times New Roman"/>
                <w:sz w:val="17"/>
                <w:szCs w:val="17"/>
                <w:color w:val="auto"/>
              </w:rPr>
              <w:t>Accounts receivable, net of allowance for credit losses of $49.5 million and $15.6 million as of</w:t>
            </w:r>
          </w:p>
        </w:tc>
        <w:tc>
          <w:tcPr>
            <w:tcW w:w="16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700" w:type="dxa"/>
            <w:vAlign w:val="bottom"/>
          </w:tcPr>
          <w:p>
            <w:pPr>
              <w:spacing w:after="0"/>
              <w:rPr>
                <w:sz w:val="15"/>
                <w:szCs w:val="15"/>
                <w:color w:val="auto"/>
              </w:rPr>
            </w:pPr>
          </w:p>
        </w:tc>
      </w:tr>
      <w:tr>
        <w:trPr>
          <w:trHeight w:val="230"/>
        </w:trPr>
        <w:tc>
          <w:tcPr>
            <w:tcW w:w="738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September 30, 2026 and December 31, 2025, respectively</w:t>
            </w:r>
          </w:p>
        </w:tc>
        <w:tc>
          <w:tcPr>
            <w:tcW w:w="160" w:type="dxa"/>
            <w:vAlign w:val="bottom"/>
          </w:tcPr>
          <w:p>
            <w:pPr>
              <w:spacing w:after="0"/>
              <w:rPr>
                <w:sz w:val="20"/>
                <w:szCs w:val="20"/>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3,125.2</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2,208.5</w:t>
            </w:r>
          </w:p>
        </w:tc>
      </w:tr>
      <w:tr>
        <w:trPr>
          <w:trHeight w:val="230"/>
        </w:trPr>
        <w:tc>
          <w:tcPr>
            <w:tcW w:w="73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Inventories</w:t>
            </w:r>
          </w:p>
        </w:tc>
        <w:tc>
          <w:tcPr>
            <w:tcW w:w="160" w:type="dxa"/>
            <w:vAlign w:val="bottom"/>
            <w:shd w:val="clear" w:color="auto" w:fill="CCEEFF"/>
          </w:tcPr>
          <w:p>
            <w:pPr>
              <w:spacing w:after="0"/>
              <w:rPr>
                <w:sz w:val="20"/>
                <w:szCs w:val="20"/>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744.7</w:t>
            </w:r>
          </w:p>
        </w:tc>
        <w:tc>
          <w:tcPr>
            <w:tcW w:w="1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454.2</w:t>
            </w:r>
          </w:p>
        </w:tc>
      </w:tr>
      <w:tr>
        <w:trPr>
          <w:trHeight w:val="230"/>
        </w:trPr>
        <w:tc>
          <w:tcPr>
            <w:tcW w:w="738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Prepaid expenses</w:t>
            </w:r>
          </w:p>
        </w:tc>
        <w:tc>
          <w:tcPr>
            <w:tcW w:w="160" w:type="dxa"/>
            <w:vAlign w:val="bottom"/>
          </w:tcPr>
          <w:p>
            <w:pPr>
              <w:spacing w:after="0"/>
              <w:rPr>
                <w:sz w:val="20"/>
                <w:szCs w:val="20"/>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86.2</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86.6</w:t>
            </w:r>
          </w:p>
        </w:tc>
      </w:tr>
      <w:tr>
        <w:trPr>
          <w:trHeight w:val="230"/>
        </w:trPr>
        <w:tc>
          <w:tcPr>
            <w:tcW w:w="73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Short-term derivative assets, net</w:t>
            </w:r>
          </w:p>
        </w:tc>
        <w:tc>
          <w:tcPr>
            <w:tcW w:w="160" w:type="dxa"/>
            <w:vAlign w:val="bottom"/>
            <w:shd w:val="clear" w:color="auto" w:fill="CCEEFF"/>
          </w:tcPr>
          <w:p>
            <w:pPr>
              <w:spacing w:after="0"/>
              <w:rPr>
                <w:sz w:val="20"/>
                <w:szCs w:val="20"/>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83.8</w:t>
            </w:r>
          </w:p>
        </w:tc>
        <w:tc>
          <w:tcPr>
            <w:tcW w:w="1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100.5</w:t>
            </w:r>
          </w:p>
        </w:tc>
      </w:tr>
      <w:tr>
        <w:trPr>
          <w:trHeight w:val="230"/>
        </w:trPr>
        <w:tc>
          <w:tcPr>
            <w:tcW w:w="73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7"/>
                <w:szCs w:val="17"/>
                <w:color w:val="auto"/>
              </w:rPr>
              <w:t>Other current assets</w:t>
            </w:r>
          </w:p>
        </w:tc>
        <w:tc>
          <w:tcPr>
            <w:tcW w:w="160" w:type="dxa"/>
            <w:vAlign w:val="bottom"/>
            <w:tcBorders>
              <w:bottom w:val="single" w:sz="8" w:color="auto"/>
            </w:tcBorders>
          </w:tcPr>
          <w:p>
            <w:pPr>
              <w:spacing w:after="0"/>
              <w:rPr>
                <w:sz w:val="20"/>
                <w:szCs w:val="20"/>
                <w:color w:val="auto"/>
              </w:rPr>
            </w:pP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365.4</w:t>
            </w:r>
          </w:p>
        </w:tc>
        <w:tc>
          <w:tcPr>
            <w:tcW w:w="14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457.2</w:t>
            </w:r>
          </w:p>
        </w:tc>
      </w:tr>
      <w:tr>
        <w:trPr>
          <w:trHeight w:val="223"/>
        </w:trPr>
        <w:tc>
          <w:tcPr>
            <w:tcW w:w="73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Total current assets</w:t>
            </w:r>
          </w:p>
        </w:tc>
        <w:tc>
          <w:tcPr>
            <w:tcW w:w="16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4,623.1</w:t>
            </w:r>
          </w:p>
        </w:tc>
        <w:tc>
          <w:tcPr>
            <w:tcW w:w="1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3,500.5</w:t>
            </w:r>
          </w:p>
        </w:tc>
      </w:tr>
      <w:tr>
        <w:trPr>
          <w:trHeight w:val="230"/>
        </w:trPr>
        <w:tc>
          <w:tcPr>
            <w:tcW w:w="73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Property and equipment, net</w:t>
            </w:r>
          </w:p>
        </w:tc>
        <w:tc>
          <w:tcPr>
            <w:tcW w:w="160" w:type="dxa"/>
            <w:vAlign w:val="bottom"/>
          </w:tcPr>
          <w:p>
            <w:pPr>
              <w:spacing w:after="0"/>
              <w:rPr>
                <w:sz w:val="20"/>
                <w:szCs w:val="20"/>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346.2</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348.4</w:t>
            </w:r>
          </w:p>
        </w:tc>
      </w:tr>
      <w:tr>
        <w:trPr>
          <w:trHeight w:val="230"/>
        </w:trPr>
        <w:tc>
          <w:tcPr>
            <w:tcW w:w="7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Goodwill</w:t>
            </w:r>
          </w:p>
        </w:tc>
        <w:tc>
          <w:tcPr>
            <w:tcW w:w="160" w:type="dxa"/>
            <w:vAlign w:val="bottom"/>
            <w:shd w:val="clear" w:color="auto" w:fill="CCEEFF"/>
          </w:tcPr>
          <w:p>
            <w:pPr>
              <w:spacing w:after="0"/>
              <w:rPr>
                <w:sz w:val="20"/>
                <w:szCs w:val="20"/>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741.0</w:t>
            </w:r>
          </w:p>
        </w:tc>
        <w:tc>
          <w:tcPr>
            <w:tcW w:w="1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737.5</w:t>
            </w:r>
          </w:p>
        </w:tc>
      </w:tr>
      <w:tr>
        <w:trPr>
          <w:trHeight w:val="230"/>
        </w:trPr>
        <w:tc>
          <w:tcPr>
            <w:tcW w:w="73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Identifiable intangible assets, net</w:t>
            </w:r>
          </w:p>
        </w:tc>
        <w:tc>
          <w:tcPr>
            <w:tcW w:w="160" w:type="dxa"/>
            <w:vAlign w:val="bottom"/>
          </w:tcPr>
          <w:p>
            <w:pPr>
              <w:spacing w:after="0"/>
              <w:rPr>
                <w:sz w:val="20"/>
                <w:szCs w:val="20"/>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295.7</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311.7</w:t>
            </w:r>
          </w:p>
        </w:tc>
      </w:tr>
      <w:tr>
        <w:trPr>
          <w:trHeight w:val="230"/>
        </w:trPr>
        <w:tc>
          <w:tcPr>
            <w:tcW w:w="7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Other non-current assets</w:t>
            </w:r>
          </w:p>
        </w:tc>
        <w:tc>
          <w:tcPr>
            <w:tcW w:w="160" w:type="dxa"/>
            <w:vAlign w:val="bottom"/>
            <w:tcBorders>
              <w:bottom w:val="single" w:sz="8" w:color="auto"/>
            </w:tcBorders>
            <w:shd w:val="clear" w:color="auto" w:fill="CCEEFF"/>
          </w:tcPr>
          <w:p>
            <w:pPr>
              <w:spacing w:after="0"/>
              <w:rPr>
                <w:sz w:val="20"/>
                <w:szCs w:val="20"/>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1,032.9</w:t>
            </w:r>
          </w:p>
        </w:tc>
        <w:tc>
          <w:tcPr>
            <w:tcW w:w="140" w:type="dxa"/>
            <w:vAlign w:val="bottom"/>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965.9</w:t>
            </w:r>
          </w:p>
        </w:tc>
      </w:tr>
      <w:tr>
        <w:trPr>
          <w:trHeight w:val="223"/>
        </w:trPr>
        <w:tc>
          <w:tcPr>
            <w:tcW w:w="738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Total assets</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7,038.9</w:t>
            </w:r>
          </w:p>
        </w:tc>
        <w:tc>
          <w:tcPr>
            <w:tcW w:w="14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5,863.9</w:t>
            </w:r>
          </w:p>
        </w:tc>
      </w:tr>
      <w:tr>
        <w:trPr>
          <w:trHeight w:val="20"/>
        </w:trPr>
        <w:tc>
          <w:tcPr>
            <w:tcW w:w="73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r>
      <w:tr>
        <w:trPr>
          <w:trHeight w:val="196"/>
        </w:trPr>
        <w:tc>
          <w:tcPr>
            <w:tcW w:w="7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Liabilities:</w:t>
            </w:r>
          </w:p>
        </w:tc>
        <w:tc>
          <w:tcPr>
            <w:tcW w:w="160" w:type="dxa"/>
            <w:vAlign w:val="bottom"/>
            <w:shd w:val="clear" w:color="auto" w:fill="CCEEFF"/>
          </w:tcPr>
          <w:p>
            <w:pPr>
              <w:spacing w:after="0"/>
              <w:rPr>
                <w:sz w:val="17"/>
                <w:szCs w:val="17"/>
                <w:color w:val="auto"/>
              </w:rPr>
            </w:pPr>
          </w:p>
        </w:tc>
        <w:tc>
          <w:tcPr>
            <w:tcW w:w="17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700" w:type="dxa"/>
            <w:vAlign w:val="bottom"/>
            <w:shd w:val="clear" w:color="auto" w:fill="CCEEFF"/>
          </w:tcPr>
          <w:p>
            <w:pPr>
              <w:spacing w:after="0"/>
              <w:rPr>
                <w:sz w:val="17"/>
                <w:szCs w:val="17"/>
                <w:color w:val="auto"/>
              </w:rPr>
            </w:pPr>
          </w:p>
        </w:tc>
      </w:tr>
      <w:tr>
        <w:trPr>
          <w:trHeight w:val="230"/>
        </w:trPr>
        <w:tc>
          <w:tcPr>
            <w:tcW w:w="738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Current liabilities:</w:t>
            </w:r>
          </w:p>
        </w:tc>
        <w:tc>
          <w:tcPr>
            <w:tcW w:w="16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700" w:type="dxa"/>
            <w:vAlign w:val="bottom"/>
          </w:tcPr>
          <w:p>
            <w:pPr>
              <w:spacing w:after="0"/>
              <w:rPr>
                <w:sz w:val="20"/>
                <w:szCs w:val="20"/>
                <w:color w:val="auto"/>
              </w:rPr>
            </w:pPr>
          </w:p>
        </w:tc>
      </w:tr>
      <w:tr>
        <w:trPr>
          <w:trHeight w:val="230"/>
        </w:trPr>
        <w:tc>
          <w:tcPr>
            <w:tcW w:w="73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Current maturities of long-term debt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9.9</w:t>
            </w:r>
          </w:p>
        </w:tc>
        <w:tc>
          <w:tcPr>
            <w:tcW w:w="14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11.9</w:t>
            </w:r>
          </w:p>
        </w:tc>
      </w:tr>
      <w:tr>
        <w:trPr>
          <w:trHeight w:val="230"/>
        </w:trPr>
        <w:tc>
          <w:tcPr>
            <w:tcW w:w="738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Accounts payable</w:t>
            </w:r>
          </w:p>
        </w:tc>
        <w:tc>
          <w:tcPr>
            <w:tcW w:w="160" w:type="dxa"/>
            <w:vAlign w:val="bottom"/>
          </w:tcPr>
          <w:p>
            <w:pPr>
              <w:spacing w:after="0"/>
              <w:rPr>
                <w:sz w:val="20"/>
                <w:szCs w:val="20"/>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3,727.5</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2,586.9</w:t>
            </w:r>
          </w:p>
        </w:tc>
      </w:tr>
      <w:tr>
        <w:trPr>
          <w:trHeight w:val="230"/>
        </w:trPr>
        <w:tc>
          <w:tcPr>
            <w:tcW w:w="73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Short-term derivative liabilities, net</w:t>
            </w:r>
          </w:p>
        </w:tc>
        <w:tc>
          <w:tcPr>
            <w:tcW w:w="160" w:type="dxa"/>
            <w:vAlign w:val="bottom"/>
            <w:shd w:val="clear" w:color="auto" w:fill="CCEEFF"/>
          </w:tcPr>
          <w:p>
            <w:pPr>
              <w:spacing w:after="0"/>
              <w:rPr>
                <w:sz w:val="20"/>
                <w:szCs w:val="20"/>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60.9</w:t>
            </w:r>
          </w:p>
        </w:tc>
        <w:tc>
          <w:tcPr>
            <w:tcW w:w="1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52.7</w:t>
            </w:r>
          </w:p>
        </w:tc>
      </w:tr>
      <w:tr>
        <w:trPr>
          <w:trHeight w:val="230"/>
        </w:trPr>
        <w:tc>
          <w:tcPr>
            <w:tcW w:w="73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7"/>
                <w:szCs w:val="17"/>
                <w:color w:val="auto"/>
              </w:rPr>
              <w:t>Accrued expenses and other current liabilities</w:t>
            </w:r>
          </w:p>
        </w:tc>
        <w:tc>
          <w:tcPr>
            <w:tcW w:w="160" w:type="dxa"/>
            <w:vAlign w:val="bottom"/>
            <w:tcBorders>
              <w:bottom w:val="single" w:sz="8" w:color="auto"/>
            </w:tcBorders>
          </w:tcPr>
          <w:p>
            <w:pPr>
              <w:spacing w:after="0"/>
              <w:rPr>
                <w:sz w:val="20"/>
                <w:szCs w:val="20"/>
                <w:color w:val="auto"/>
              </w:rPr>
            </w:pP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658.5</w:t>
            </w:r>
          </w:p>
        </w:tc>
        <w:tc>
          <w:tcPr>
            <w:tcW w:w="14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658.9</w:t>
            </w:r>
          </w:p>
        </w:tc>
      </w:tr>
      <w:tr>
        <w:trPr>
          <w:trHeight w:val="223"/>
        </w:trPr>
        <w:tc>
          <w:tcPr>
            <w:tcW w:w="73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Total current liabilities</w:t>
            </w:r>
          </w:p>
        </w:tc>
        <w:tc>
          <w:tcPr>
            <w:tcW w:w="16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4,456.9</w:t>
            </w:r>
          </w:p>
        </w:tc>
        <w:tc>
          <w:tcPr>
            <w:tcW w:w="1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3,310.4</w:t>
            </w:r>
          </w:p>
        </w:tc>
      </w:tr>
      <w:tr>
        <w:trPr>
          <w:trHeight w:val="230"/>
        </w:trPr>
        <w:tc>
          <w:tcPr>
            <w:tcW w:w="73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Long-term debt</w:t>
            </w:r>
          </w:p>
        </w:tc>
        <w:tc>
          <w:tcPr>
            <w:tcW w:w="160" w:type="dxa"/>
            <w:vAlign w:val="bottom"/>
          </w:tcPr>
          <w:p>
            <w:pPr>
              <w:spacing w:after="0"/>
              <w:rPr>
                <w:sz w:val="20"/>
                <w:szCs w:val="20"/>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683.9</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685.2</w:t>
            </w:r>
          </w:p>
        </w:tc>
      </w:tr>
      <w:tr>
        <w:trPr>
          <w:trHeight w:val="230"/>
        </w:trPr>
        <w:tc>
          <w:tcPr>
            <w:tcW w:w="7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Other long-term liabilities</w:t>
            </w:r>
          </w:p>
        </w:tc>
        <w:tc>
          <w:tcPr>
            <w:tcW w:w="160" w:type="dxa"/>
            <w:vAlign w:val="bottom"/>
            <w:tcBorders>
              <w:bottom w:val="single" w:sz="8" w:color="auto"/>
            </w:tcBorders>
            <w:shd w:val="clear" w:color="auto" w:fill="CCEEFF"/>
          </w:tcPr>
          <w:p>
            <w:pPr>
              <w:spacing w:after="0"/>
              <w:rPr>
                <w:sz w:val="20"/>
                <w:szCs w:val="20"/>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609.8</w:t>
            </w:r>
          </w:p>
        </w:tc>
        <w:tc>
          <w:tcPr>
            <w:tcW w:w="140" w:type="dxa"/>
            <w:vAlign w:val="bottom"/>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560.4</w:t>
            </w:r>
          </w:p>
        </w:tc>
      </w:tr>
      <w:tr>
        <w:trPr>
          <w:trHeight w:val="223"/>
        </w:trPr>
        <w:tc>
          <w:tcPr>
            <w:tcW w:w="738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7"/>
                <w:szCs w:val="17"/>
                <w:color w:val="auto"/>
              </w:rPr>
              <w:t>Total liabilities</w:t>
            </w:r>
          </w:p>
        </w:tc>
        <w:tc>
          <w:tcPr>
            <w:tcW w:w="16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5,750.5</w:t>
            </w:r>
          </w:p>
        </w:tc>
        <w:tc>
          <w:tcPr>
            <w:tcW w:w="14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4,556.1</w:t>
            </w:r>
          </w:p>
        </w:tc>
      </w:tr>
      <w:tr>
        <w:trPr>
          <w:trHeight w:val="210"/>
        </w:trPr>
        <w:tc>
          <w:tcPr>
            <w:tcW w:w="7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Commitments and contingencies</w:t>
            </w:r>
          </w:p>
        </w:tc>
        <w:tc>
          <w:tcPr>
            <w:tcW w:w="16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r>
      <w:tr>
        <w:trPr>
          <w:trHeight w:val="230"/>
        </w:trPr>
        <w:tc>
          <w:tcPr>
            <w:tcW w:w="73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Equity:</w:t>
            </w:r>
          </w:p>
        </w:tc>
        <w:tc>
          <w:tcPr>
            <w:tcW w:w="16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700" w:type="dxa"/>
            <w:vAlign w:val="bottom"/>
          </w:tcPr>
          <w:p>
            <w:pPr>
              <w:spacing w:after="0"/>
              <w:rPr>
                <w:sz w:val="20"/>
                <w:szCs w:val="20"/>
                <w:color w:val="auto"/>
              </w:rPr>
            </w:pPr>
          </w:p>
        </w:tc>
      </w:tr>
      <w:tr>
        <w:trPr>
          <w:trHeight w:val="230"/>
        </w:trPr>
        <w:tc>
          <w:tcPr>
            <w:tcW w:w="7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World Kinect shareholders' equity:</w:t>
            </w:r>
          </w:p>
        </w:tc>
        <w:tc>
          <w:tcPr>
            <w:tcW w:w="160" w:type="dxa"/>
            <w:vAlign w:val="bottom"/>
            <w:shd w:val="clear" w:color="auto" w:fill="CCEEFF"/>
          </w:tcPr>
          <w:p>
            <w:pPr>
              <w:spacing w:after="0"/>
              <w:rPr>
                <w:sz w:val="20"/>
                <w:szCs w:val="20"/>
                <w:color w:val="auto"/>
              </w:rPr>
            </w:pPr>
          </w:p>
        </w:tc>
        <w:tc>
          <w:tcPr>
            <w:tcW w:w="17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700" w:type="dxa"/>
            <w:vAlign w:val="bottom"/>
            <w:shd w:val="clear" w:color="auto" w:fill="CCEEFF"/>
          </w:tcPr>
          <w:p>
            <w:pPr>
              <w:spacing w:after="0"/>
              <w:rPr>
                <w:sz w:val="20"/>
                <w:szCs w:val="20"/>
                <w:color w:val="auto"/>
              </w:rPr>
            </w:pPr>
          </w:p>
        </w:tc>
      </w:tr>
      <w:tr>
        <w:trPr>
          <w:trHeight w:val="230"/>
        </w:trPr>
        <w:tc>
          <w:tcPr>
            <w:tcW w:w="738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Preferred stock, $1.00 par value; 0.1 shares authorized, none issued</w:t>
            </w:r>
          </w:p>
        </w:tc>
        <w:tc>
          <w:tcPr>
            <w:tcW w:w="160" w:type="dxa"/>
            <w:vAlign w:val="bottom"/>
          </w:tcPr>
          <w:p>
            <w:pPr>
              <w:spacing w:after="0"/>
              <w:rPr>
                <w:sz w:val="20"/>
                <w:szCs w:val="20"/>
                <w:color w:val="auto"/>
              </w:rPr>
            </w:pPr>
          </w:p>
        </w:tc>
        <w:tc>
          <w:tcPr>
            <w:tcW w:w="184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spacing w:after="0"/>
              <w:rPr>
                <w:sz w:val="20"/>
                <w:szCs w:val="20"/>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179"/>
        </w:trPr>
        <w:tc>
          <w:tcPr>
            <w:tcW w:w="7380" w:type="dxa"/>
            <w:vAlign w:val="bottom"/>
            <w:shd w:val="clear" w:color="auto" w:fill="CCEEFF"/>
          </w:tcPr>
          <w:p>
            <w:pPr>
              <w:ind w:left="140"/>
              <w:spacing w:after="0" w:line="180" w:lineRule="exact"/>
              <w:rPr>
                <w:sz w:val="20"/>
                <w:szCs w:val="20"/>
                <w:color w:val="auto"/>
              </w:rPr>
            </w:pPr>
            <w:r>
              <w:rPr>
                <w:rFonts w:ascii="Times New Roman" w:cs="Times New Roman" w:eastAsia="Times New Roman" w:hAnsi="Times New Roman"/>
                <w:sz w:val="17"/>
                <w:szCs w:val="17"/>
                <w:color w:val="auto"/>
              </w:rPr>
              <w:t>Common stock, $0.01 par value; 100.0 shares authorized, 51.2 and 54.1 issued and outstanding as of</w:t>
            </w:r>
          </w:p>
        </w:tc>
        <w:tc>
          <w:tcPr>
            <w:tcW w:w="160" w:type="dxa"/>
            <w:vAlign w:val="bottom"/>
            <w:shd w:val="clear" w:color="auto" w:fill="CCEEFF"/>
          </w:tcPr>
          <w:p>
            <w:pPr>
              <w:spacing w:after="0"/>
              <w:rPr>
                <w:sz w:val="15"/>
                <w:szCs w:val="15"/>
                <w:color w:val="auto"/>
              </w:rPr>
            </w:pPr>
          </w:p>
        </w:tc>
        <w:tc>
          <w:tcPr>
            <w:tcW w:w="17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700" w:type="dxa"/>
            <w:vAlign w:val="bottom"/>
            <w:shd w:val="clear" w:color="auto" w:fill="CCEEFF"/>
          </w:tcPr>
          <w:p>
            <w:pPr>
              <w:spacing w:after="0"/>
              <w:rPr>
                <w:sz w:val="15"/>
                <w:szCs w:val="15"/>
                <w:color w:val="auto"/>
              </w:rPr>
            </w:pPr>
          </w:p>
        </w:tc>
      </w:tr>
      <w:tr>
        <w:trPr>
          <w:trHeight w:val="230"/>
        </w:trPr>
        <w:tc>
          <w:tcPr>
            <w:tcW w:w="73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September 30, 2026 and December 31, 2025, respectively</w:t>
            </w:r>
          </w:p>
        </w:tc>
        <w:tc>
          <w:tcPr>
            <w:tcW w:w="160" w:type="dxa"/>
            <w:vAlign w:val="bottom"/>
            <w:shd w:val="clear" w:color="auto" w:fill="CCEEFF"/>
          </w:tcPr>
          <w:p>
            <w:pPr>
              <w:spacing w:after="0"/>
              <w:rPr>
                <w:sz w:val="20"/>
                <w:szCs w:val="20"/>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0.5</w:t>
            </w:r>
          </w:p>
        </w:tc>
        <w:tc>
          <w:tcPr>
            <w:tcW w:w="1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0.5</w:t>
            </w:r>
          </w:p>
        </w:tc>
      </w:tr>
      <w:tr>
        <w:trPr>
          <w:trHeight w:val="230"/>
        </w:trPr>
        <w:tc>
          <w:tcPr>
            <w:tcW w:w="738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Capital in excess of par value</w:t>
            </w:r>
          </w:p>
        </w:tc>
        <w:tc>
          <w:tcPr>
            <w:tcW w:w="160" w:type="dxa"/>
            <w:vAlign w:val="bottom"/>
          </w:tcPr>
          <w:p>
            <w:pPr>
              <w:spacing w:after="0"/>
              <w:rPr>
                <w:sz w:val="20"/>
                <w:szCs w:val="20"/>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9.8</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30"/>
        </w:trPr>
        <w:tc>
          <w:tcPr>
            <w:tcW w:w="73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Retained earnings</w:t>
            </w:r>
          </w:p>
        </w:tc>
        <w:tc>
          <w:tcPr>
            <w:tcW w:w="160" w:type="dxa"/>
            <w:vAlign w:val="bottom"/>
            <w:shd w:val="clear" w:color="auto" w:fill="CCEEFF"/>
          </w:tcPr>
          <w:p>
            <w:pPr>
              <w:spacing w:after="0"/>
              <w:rPr>
                <w:sz w:val="20"/>
                <w:szCs w:val="20"/>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1,316.1</w:t>
            </w:r>
          </w:p>
        </w:tc>
        <w:tc>
          <w:tcPr>
            <w:tcW w:w="1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1,315.9</w:t>
            </w:r>
          </w:p>
        </w:tc>
      </w:tr>
      <w:tr>
        <w:trPr>
          <w:trHeight w:val="230"/>
        </w:trPr>
        <w:tc>
          <w:tcPr>
            <w:tcW w:w="73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7"/>
                <w:szCs w:val="17"/>
                <w:color w:val="auto"/>
              </w:rPr>
              <w:t>Accumulated other comprehensive income (loss)</w:t>
            </w:r>
          </w:p>
        </w:tc>
        <w:tc>
          <w:tcPr>
            <w:tcW w:w="160" w:type="dxa"/>
            <w:vAlign w:val="bottom"/>
            <w:tcBorders>
              <w:bottom w:val="single" w:sz="8" w:color="auto"/>
            </w:tcBorders>
          </w:tcPr>
          <w:p>
            <w:pPr>
              <w:spacing w:after="0"/>
              <w:rPr>
                <w:sz w:val="20"/>
                <w:szCs w:val="20"/>
                <w:color w:val="auto"/>
              </w:rPr>
            </w:pP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(47.3)</w:t>
            </w:r>
          </w:p>
        </w:tc>
        <w:tc>
          <w:tcPr>
            <w:tcW w:w="14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(17.3)</w:t>
            </w:r>
          </w:p>
        </w:tc>
      </w:tr>
      <w:tr>
        <w:trPr>
          <w:trHeight w:val="223"/>
        </w:trPr>
        <w:tc>
          <w:tcPr>
            <w:tcW w:w="73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Total World Kinect shareholders' equity</w:t>
            </w:r>
          </w:p>
        </w:tc>
        <w:tc>
          <w:tcPr>
            <w:tcW w:w="16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1,279.1</w:t>
            </w:r>
          </w:p>
        </w:tc>
        <w:tc>
          <w:tcPr>
            <w:tcW w:w="1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1,299.1</w:t>
            </w:r>
          </w:p>
        </w:tc>
      </w:tr>
      <w:tr>
        <w:trPr>
          <w:trHeight w:val="230"/>
        </w:trPr>
        <w:tc>
          <w:tcPr>
            <w:tcW w:w="73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Noncontrolling interest</w:t>
            </w:r>
          </w:p>
        </w:tc>
        <w:tc>
          <w:tcPr>
            <w:tcW w:w="160" w:type="dxa"/>
            <w:vAlign w:val="bottom"/>
            <w:tcBorders>
              <w:bottom w:val="single" w:sz="8" w:color="auto"/>
            </w:tcBorders>
          </w:tcPr>
          <w:p>
            <w:pPr>
              <w:spacing w:after="0"/>
              <w:rPr>
                <w:sz w:val="20"/>
                <w:szCs w:val="20"/>
                <w:color w:val="auto"/>
              </w:rPr>
            </w:pP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9.3</w:t>
            </w:r>
          </w:p>
        </w:tc>
        <w:tc>
          <w:tcPr>
            <w:tcW w:w="14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8.8</w:t>
            </w:r>
          </w:p>
        </w:tc>
      </w:tr>
      <w:tr>
        <w:trPr>
          <w:trHeight w:val="223"/>
        </w:trPr>
        <w:tc>
          <w:tcPr>
            <w:tcW w:w="73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Total equity</w:t>
            </w:r>
          </w:p>
        </w:tc>
        <w:tc>
          <w:tcPr>
            <w:tcW w:w="160" w:type="dxa"/>
            <w:vAlign w:val="bottom"/>
            <w:tcBorders>
              <w:bottom w:val="single" w:sz="8" w:color="auto"/>
            </w:tcBorders>
            <w:shd w:val="clear" w:color="auto" w:fill="CCEEFF"/>
          </w:tcPr>
          <w:p>
            <w:pPr>
              <w:spacing w:after="0"/>
              <w:rPr>
                <w:sz w:val="19"/>
                <w:szCs w:val="19"/>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1,288.4</w:t>
            </w:r>
          </w:p>
        </w:tc>
        <w:tc>
          <w:tcPr>
            <w:tcW w:w="14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1,307.9</w:t>
            </w:r>
          </w:p>
        </w:tc>
      </w:tr>
      <w:tr>
        <w:trPr>
          <w:trHeight w:val="223"/>
        </w:trPr>
        <w:tc>
          <w:tcPr>
            <w:tcW w:w="738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Total liabilities and equity</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7,038.9</w:t>
            </w:r>
          </w:p>
        </w:tc>
        <w:tc>
          <w:tcPr>
            <w:tcW w:w="14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5,863.9</w:t>
            </w:r>
          </w:p>
        </w:tc>
      </w:tr>
      <w:tr>
        <w:trPr>
          <w:trHeight w:val="20"/>
        </w:trPr>
        <w:tc>
          <w:tcPr>
            <w:tcW w:w="73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r>
    </w:tbl>
    <w:p>
      <w:pPr>
        <w:spacing w:after="0" w:line="1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6</w:t>
      </w:r>
    </w:p>
    <w:p>
      <w:pPr>
        <w:sectPr>
          <w:pgSz w:w="11900" w:h="16838" w:orient="portrait"/>
          <w:cols w:equalWidth="0" w:num="1">
            <w:col w:w="11240"/>
          </w:cols>
          <w:pgMar w:left="320" w:top="1297" w:right="339" w:bottom="1440" w:gutter="0" w:footer="0" w:header="0"/>
        </w:sectPr>
      </w:pPr>
    </w:p>
    <w:bookmarkStart w:id="9" w:name="page10"/>
    <w:bookmarkEnd w:id="9"/>
    <w:p>
      <w:pPr>
        <w:jc w:val="center"/>
        <w:spacing w:after="0"/>
        <w:rPr>
          <w:sz w:val="20"/>
          <w:szCs w:val="20"/>
          <w:color w:val="auto"/>
        </w:rPr>
      </w:pPr>
      <w:r>
        <w:rPr>
          <w:rFonts w:ascii="Times New Roman" w:cs="Times New Roman" w:eastAsia="Times New Roman" w:hAnsi="Times New Roman"/>
          <w:sz w:val="17"/>
          <w:szCs w:val="17"/>
          <w:b w:val="1"/>
          <w:bCs w:val="1"/>
          <w:color w:val="auto"/>
        </w:rPr>
        <w:t>WORLD KINECT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CONDENSED CONSOLIDATED STATEMENTS OF INCOME AND COMPREHENSIVE INCOME</w:t>
      </w:r>
    </w:p>
    <w:p>
      <w:pPr>
        <w:spacing w:after="0" w:line="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7"/>
          <w:szCs w:val="17"/>
          <w:color w:val="auto"/>
        </w:rPr>
        <w:t>(Unaudited – In millions, except per share data)</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54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740" w:type="dxa"/>
            <w:vAlign w:val="bottom"/>
            <w:gridSpan w:val="5"/>
          </w:tcPr>
          <w:p>
            <w:pPr>
              <w:ind w:left="120"/>
              <w:spacing w:after="0"/>
              <w:rPr>
                <w:sz w:val="20"/>
                <w:szCs w:val="20"/>
                <w:color w:val="auto"/>
              </w:rPr>
            </w:pPr>
            <w:r>
              <w:rPr>
                <w:rFonts w:ascii="Times New Roman" w:cs="Times New Roman" w:eastAsia="Times New Roman" w:hAnsi="Times New Roman"/>
                <w:sz w:val="17"/>
                <w:szCs w:val="17"/>
                <w:b w:val="1"/>
                <w:bCs w:val="1"/>
                <w:color w:val="auto"/>
              </w:rPr>
              <w:t>For the Three Months Ended</w:t>
            </w:r>
          </w:p>
        </w:tc>
        <w:tc>
          <w:tcPr>
            <w:tcW w:w="260" w:type="dxa"/>
            <w:vAlign w:val="bottom"/>
          </w:tcPr>
          <w:p>
            <w:pPr>
              <w:spacing w:after="0"/>
              <w:rPr>
                <w:sz w:val="17"/>
                <w:szCs w:val="17"/>
                <w:color w:val="auto"/>
              </w:rPr>
            </w:pPr>
          </w:p>
        </w:tc>
        <w:tc>
          <w:tcPr>
            <w:tcW w:w="2580" w:type="dxa"/>
            <w:vAlign w:val="bottom"/>
            <w:gridSpan w:val="4"/>
          </w:tcPr>
          <w:p>
            <w:pPr>
              <w:jc w:val="right"/>
              <w:ind w:right="315"/>
              <w:spacing w:after="0"/>
              <w:rPr>
                <w:sz w:val="20"/>
                <w:szCs w:val="20"/>
                <w:color w:val="auto"/>
              </w:rPr>
            </w:pPr>
            <w:r>
              <w:rPr>
                <w:rFonts w:ascii="Times New Roman" w:cs="Times New Roman" w:eastAsia="Times New Roman" w:hAnsi="Times New Roman"/>
                <w:sz w:val="17"/>
                <w:szCs w:val="17"/>
                <w:b w:val="1"/>
                <w:bCs w:val="1"/>
                <w:color w:val="auto"/>
              </w:rPr>
              <w:t>For the Nine Months Ended</w:t>
            </w:r>
          </w:p>
        </w:tc>
        <w:tc>
          <w:tcPr>
            <w:tcW w:w="0" w:type="dxa"/>
            <w:vAlign w:val="bottom"/>
          </w:tcPr>
          <w:p>
            <w:pPr>
              <w:spacing w:after="0"/>
              <w:rPr>
                <w:sz w:val="1"/>
                <w:szCs w:val="1"/>
                <w:color w:val="auto"/>
              </w:rPr>
            </w:pPr>
          </w:p>
        </w:tc>
      </w:tr>
      <w:tr>
        <w:trPr>
          <w:trHeight w:val="228"/>
        </w:trPr>
        <w:tc>
          <w:tcPr>
            <w:tcW w:w="544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7"/>
                <w:szCs w:val="17"/>
                <w:b w:val="1"/>
                <w:bCs w:val="1"/>
                <w:color w:val="auto"/>
              </w:rPr>
              <w:t>September 30,</w:t>
            </w:r>
          </w:p>
        </w:tc>
        <w:tc>
          <w:tcPr>
            <w:tcW w:w="88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7"/>
                <w:szCs w:val="17"/>
                <w:b w:val="1"/>
                <w:bCs w:val="1"/>
                <w:color w:val="auto"/>
              </w:rPr>
              <w:t>September 30,</w:t>
            </w:r>
          </w:p>
        </w:tc>
        <w:tc>
          <w:tcPr>
            <w:tcW w:w="86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544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415"/>
              <w:spacing w:after="0"/>
              <w:rPr>
                <w:sz w:val="20"/>
                <w:szCs w:val="20"/>
                <w:color w:val="auto"/>
              </w:rPr>
            </w:pPr>
            <w:r>
              <w:rPr>
                <w:rFonts w:ascii="Times New Roman" w:cs="Times New Roman" w:eastAsia="Times New Roman" w:hAnsi="Times New Roman"/>
                <w:sz w:val="17"/>
                <w:szCs w:val="17"/>
                <w:b w:val="1"/>
                <w:bCs w:val="1"/>
                <w:color w:val="auto"/>
              </w:rPr>
              <w:t>2026</w:t>
            </w:r>
          </w:p>
        </w:tc>
        <w:tc>
          <w:tcPr>
            <w:tcW w:w="14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435"/>
              <w:spacing w:after="0"/>
              <w:rPr>
                <w:sz w:val="20"/>
                <w:szCs w:val="20"/>
                <w:color w:val="auto"/>
              </w:rPr>
            </w:pPr>
            <w:r>
              <w:rPr>
                <w:rFonts w:ascii="Times New Roman" w:cs="Times New Roman" w:eastAsia="Times New Roman" w:hAnsi="Times New Roman"/>
                <w:sz w:val="17"/>
                <w:szCs w:val="17"/>
                <w:b w:val="1"/>
                <w:bCs w:val="1"/>
                <w:color w:val="auto"/>
                <w:w w:val="99"/>
              </w:rPr>
              <w:t>2025</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415"/>
              <w:spacing w:after="0"/>
              <w:rPr>
                <w:sz w:val="20"/>
                <w:szCs w:val="20"/>
                <w:color w:val="auto"/>
              </w:rPr>
            </w:pPr>
            <w:r>
              <w:rPr>
                <w:rFonts w:ascii="Times New Roman" w:cs="Times New Roman" w:eastAsia="Times New Roman" w:hAnsi="Times New Roman"/>
                <w:sz w:val="17"/>
                <w:szCs w:val="17"/>
                <w:b w:val="1"/>
                <w:bCs w:val="1"/>
                <w:color w:val="auto"/>
              </w:rPr>
              <w:t>2026</w:t>
            </w:r>
          </w:p>
        </w:tc>
        <w:tc>
          <w:tcPr>
            <w:tcW w:w="12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415"/>
              <w:spacing w:after="0"/>
              <w:rPr>
                <w:sz w:val="20"/>
                <w:szCs w:val="20"/>
                <w:color w:val="auto"/>
              </w:rPr>
            </w:pPr>
            <w:r>
              <w:rPr>
                <w:rFonts w:ascii="Times New Roman" w:cs="Times New Roman" w:eastAsia="Times New Roman" w:hAnsi="Times New Roman"/>
                <w:sz w:val="17"/>
                <w:szCs w:val="17"/>
                <w:b w:val="1"/>
                <w:bCs w:val="1"/>
                <w:color w:val="auto"/>
                <w:w w:val="99"/>
              </w:rPr>
              <w:t>2025</w:t>
            </w:r>
          </w:p>
        </w:tc>
        <w:tc>
          <w:tcPr>
            <w:tcW w:w="0" w:type="dxa"/>
            <w:vAlign w:val="bottom"/>
          </w:tcPr>
          <w:p>
            <w:pPr>
              <w:spacing w:after="0"/>
              <w:rPr>
                <w:sz w:val="1"/>
                <w:szCs w:val="1"/>
                <w:color w:val="auto"/>
              </w:rPr>
            </w:pPr>
          </w:p>
        </w:tc>
      </w:tr>
      <w:tr>
        <w:trPr>
          <w:trHeight w:val="223"/>
        </w:trPr>
        <w:tc>
          <w:tcPr>
            <w:tcW w:w="5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Revenue</w:t>
            </w:r>
          </w:p>
        </w:tc>
        <w:tc>
          <w:tcPr>
            <w:tcW w:w="22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13,270.7</w:t>
            </w:r>
          </w:p>
        </w:tc>
        <w:tc>
          <w:tcPr>
            <w:tcW w:w="14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95"/>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9,391.8</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36,546.9</w:t>
            </w: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295"/>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27,887.6</w:t>
            </w:r>
          </w:p>
        </w:tc>
        <w:tc>
          <w:tcPr>
            <w:tcW w:w="0" w:type="dxa"/>
            <w:vAlign w:val="bottom"/>
          </w:tcPr>
          <w:p>
            <w:pPr>
              <w:spacing w:after="0"/>
              <w:rPr>
                <w:sz w:val="1"/>
                <w:szCs w:val="1"/>
                <w:color w:val="auto"/>
              </w:rPr>
            </w:pPr>
          </w:p>
        </w:tc>
      </w:tr>
      <w:tr>
        <w:trPr>
          <w:trHeight w:val="230"/>
        </w:trPr>
        <w:tc>
          <w:tcPr>
            <w:tcW w:w="54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Cost of revenue</w:t>
            </w:r>
          </w:p>
        </w:tc>
        <w:tc>
          <w:tcPr>
            <w:tcW w:w="2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12,982.6</w:t>
            </w:r>
          </w:p>
        </w:tc>
        <w:tc>
          <w:tcPr>
            <w:tcW w:w="140" w:type="dxa"/>
            <w:vAlign w:val="bottom"/>
            <w:tcBorders>
              <w:bottom w:val="single" w:sz="8" w:color="CCEEFF"/>
            </w:tcBorders>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9,142.2</w:t>
            </w:r>
          </w:p>
        </w:tc>
        <w:tc>
          <w:tcPr>
            <w:tcW w:w="12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35,622.5</w:t>
            </w:r>
          </w:p>
        </w:tc>
        <w:tc>
          <w:tcPr>
            <w:tcW w:w="120" w:type="dxa"/>
            <w:vAlign w:val="bottom"/>
            <w:tcBorders>
              <w:bottom w:val="single" w:sz="8" w:color="CCEEFF"/>
            </w:tcBorders>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27,175.2</w:t>
            </w:r>
          </w:p>
        </w:tc>
        <w:tc>
          <w:tcPr>
            <w:tcW w:w="0" w:type="dxa"/>
            <w:vAlign w:val="bottom"/>
          </w:tcPr>
          <w:p>
            <w:pPr>
              <w:spacing w:after="0"/>
              <w:rPr>
                <w:sz w:val="1"/>
                <w:szCs w:val="1"/>
                <w:color w:val="auto"/>
              </w:rPr>
            </w:pPr>
          </w:p>
        </w:tc>
      </w:tr>
      <w:tr>
        <w:trPr>
          <w:trHeight w:val="223"/>
        </w:trPr>
        <w:tc>
          <w:tcPr>
            <w:tcW w:w="5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Gross profit</w:t>
            </w:r>
          </w:p>
        </w:tc>
        <w:tc>
          <w:tcPr>
            <w:tcW w:w="2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288.1</w:t>
            </w:r>
          </w:p>
        </w:tc>
        <w:tc>
          <w:tcPr>
            <w:tcW w:w="14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249.6</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924.4</w:t>
            </w:r>
          </w:p>
        </w:tc>
        <w:tc>
          <w:tcPr>
            <w:tcW w:w="12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712.4</w:t>
            </w:r>
          </w:p>
        </w:tc>
        <w:tc>
          <w:tcPr>
            <w:tcW w:w="0" w:type="dxa"/>
            <w:vAlign w:val="bottom"/>
          </w:tcPr>
          <w:p>
            <w:pPr>
              <w:spacing w:after="0"/>
              <w:rPr>
                <w:sz w:val="1"/>
                <w:szCs w:val="1"/>
                <w:color w:val="auto"/>
              </w:rPr>
            </w:pPr>
          </w:p>
        </w:tc>
      </w:tr>
      <w:tr>
        <w:trPr>
          <w:trHeight w:val="210"/>
        </w:trPr>
        <w:tc>
          <w:tcPr>
            <w:tcW w:w="54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Operating expenses:</w:t>
            </w: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4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Compensation and employee benefits</w:t>
            </w:r>
          </w:p>
        </w:tc>
        <w:tc>
          <w:tcPr>
            <w:tcW w:w="220" w:type="dxa"/>
            <w:vAlign w:val="bottom"/>
            <w:shd w:val="clear" w:color="auto" w:fill="CCEEFF"/>
          </w:tcPr>
          <w:p>
            <w:pPr>
              <w:spacing w:after="0"/>
              <w:rPr>
                <w:sz w:val="20"/>
                <w:szCs w:val="20"/>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107.0</w:t>
            </w:r>
          </w:p>
        </w:tc>
        <w:tc>
          <w:tcPr>
            <w:tcW w:w="14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112.4</w:t>
            </w:r>
          </w:p>
        </w:tc>
        <w:tc>
          <w:tcPr>
            <w:tcW w:w="1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383.1</w:t>
            </w:r>
          </w:p>
        </w:tc>
        <w:tc>
          <w:tcPr>
            <w:tcW w:w="12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323.0</w:t>
            </w:r>
          </w:p>
        </w:tc>
        <w:tc>
          <w:tcPr>
            <w:tcW w:w="0" w:type="dxa"/>
            <w:vAlign w:val="bottom"/>
          </w:tcPr>
          <w:p>
            <w:pPr>
              <w:spacing w:after="0"/>
              <w:rPr>
                <w:sz w:val="1"/>
                <w:szCs w:val="1"/>
                <w:color w:val="auto"/>
              </w:rPr>
            </w:pPr>
          </w:p>
        </w:tc>
      </w:tr>
      <w:tr>
        <w:trPr>
          <w:trHeight w:val="230"/>
        </w:trPr>
        <w:tc>
          <w:tcPr>
            <w:tcW w:w="544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General and administrative</w:t>
            </w:r>
          </w:p>
        </w:tc>
        <w:tc>
          <w:tcPr>
            <w:tcW w:w="2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101.6</w:t>
            </w:r>
          </w:p>
        </w:tc>
        <w:tc>
          <w:tcPr>
            <w:tcW w:w="1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69.5</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296.5</w:t>
            </w:r>
          </w:p>
        </w:tc>
        <w:tc>
          <w:tcPr>
            <w:tcW w:w="1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209.2</w:t>
            </w:r>
          </w:p>
        </w:tc>
        <w:tc>
          <w:tcPr>
            <w:tcW w:w="0" w:type="dxa"/>
            <w:vAlign w:val="bottom"/>
          </w:tcPr>
          <w:p>
            <w:pPr>
              <w:spacing w:after="0"/>
              <w:rPr>
                <w:sz w:val="1"/>
                <w:szCs w:val="1"/>
                <w:color w:val="auto"/>
              </w:rPr>
            </w:pPr>
          </w:p>
        </w:tc>
      </w:tr>
      <w:tr>
        <w:trPr>
          <w:trHeight w:val="230"/>
        </w:trPr>
        <w:tc>
          <w:tcPr>
            <w:tcW w:w="54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Goodwill and other asset impairments</w:t>
            </w:r>
          </w:p>
        </w:tc>
        <w:tc>
          <w:tcPr>
            <w:tcW w:w="220" w:type="dxa"/>
            <w:vAlign w:val="bottom"/>
            <w:shd w:val="clear" w:color="auto" w:fill="CCEEFF"/>
          </w:tcPr>
          <w:p>
            <w:pPr>
              <w:spacing w:after="0"/>
              <w:rPr>
                <w:sz w:val="20"/>
                <w:szCs w:val="20"/>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0.9</w:t>
            </w:r>
          </w:p>
        </w:tc>
        <w:tc>
          <w:tcPr>
            <w:tcW w:w="14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w:t>
            </w:r>
          </w:p>
        </w:tc>
        <w:tc>
          <w:tcPr>
            <w:tcW w:w="12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443.1</w:t>
            </w:r>
          </w:p>
        </w:tc>
        <w:tc>
          <w:tcPr>
            <w:tcW w:w="0" w:type="dxa"/>
            <w:vAlign w:val="bottom"/>
          </w:tcPr>
          <w:p>
            <w:pPr>
              <w:spacing w:after="0"/>
              <w:rPr>
                <w:sz w:val="1"/>
                <w:szCs w:val="1"/>
                <w:color w:val="auto"/>
              </w:rPr>
            </w:pPr>
          </w:p>
        </w:tc>
      </w:tr>
      <w:tr>
        <w:trPr>
          <w:trHeight w:val="230"/>
        </w:trPr>
        <w:tc>
          <w:tcPr>
            <w:tcW w:w="54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7"/>
                <w:szCs w:val="17"/>
                <w:color w:val="auto"/>
              </w:rPr>
              <w:t>Restructuring and exit costs</w:t>
            </w:r>
          </w:p>
        </w:tc>
        <w:tc>
          <w:tcPr>
            <w:tcW w:w="2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(1.5)</w:t>
            </w:r>
          </w:p>
        </w:tc>
        <w:tc>
          <w:tcPr>
            <w:tcW w:w="140" w:type="dxa"/>
            <w:vAlign w:val="bottom"/>
            <w:tcBorders>
              <w:bottom w:val="single" w:sz="8" w:color="CCEEFF"/>
            </w:tcBorders>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4.9</w:t>
            </w:r>
          </w:p>
        </w:tc>
        <w:tc>
          <w:tcPr>
            <w:tcW w:w="12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14.1</w:t>
            </w:r>
          </w:p>
        </w:tc>
        <w:tc>
          <w:tcPr>
            <w:tcW w:w="120" w:type="dxa"/>
            <w:vAlign w:val="bottom"/>
            <w:tcBorders>
              <w:bottom w:val="single" w:sz="8" w:color="CCEEFF"/>
            </w:tcBorders>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25.9</w:t>
            </w:r>
          </w:p>
        </w:tc>
        <w:tc>
          <w:tcPr>
            <w:tcW w:w="0" w:type="dxa"/>
            <w:vAlign w:val="bottom"/>
          </w:tcPr>
          <w:p>
            <w:pPr>
              <w:spacing w:after="0"/>
              <w:rPr>
                <w:sz w:val="1"/>
                <w:szCs w:val="1"/>
                <w:color w:val="auto"/>
              </w:rPr>
            </w:pPr>
          </w:p>
        </w:tc>
      </w:tr>
      <w:tr>
        <w:trPr>
          <w:trHeight w:val="223"/>
        </w:trPr>
        <w:tc>
          <w:tcPr>
            <w:tcW w:w="54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Total operating expenses</w:t>
            </w:r>
          </w:p>
        </w:tc>
        <w:tc>
          <w:tcPr>
            <w:tcW w:w="2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208.0</w:t>
            </w:r>
          </w:p>
        </w:tc>
        <w:tc>
          <w:tcPr>
            <w:tcW w:w="14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186.8</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691.9</w:t>
            </w:r>
          </w:p>
        </w:tc>
        <w:tc>
          <w:tcPr>
            <w:tcW w:w="12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1,001.2</w:t>
            </w:r>
          </w:p>
        </w:tc>
        <w:tc>
          <w:tcPr>
            <w:tcW w:w="0" w:type="dxa"/>
            <w:vAlign w:val="bottom"/>
          </w:tcPr>
          <w:p>
            <w:pPr>
              <w:spacing w:after="0"/>
              <w:rPr>
                <w:sz w:val="1"/>
                <w:szCs w:val="1"/>
                <w:color w:val="auto"/>
              </w:rPr>
            </w:pPr>
          </w:p>
        </w:tc>
      </w:tr>
      <w:tr>
        <w:trPr>
          <w:trHeight w:val="223"/>
        </w:trPr>
        <w:tc>
          <w:tcPr>
            <w:tcW w:w="54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Income (loss) from operations</w:t>
            </w:r>
          </w:p>
        </w:tc>
        <w:tc>
          <w:tcPr>
            <w:tcW w:w="2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80.1</w:t>
            </w:r>
          </w:p>
        </w:tc>
        <w:tc>
          <w:tcPr>
            <w:tcW w:w="14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62.9</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232.5</w:t>
            </w:r>
          </w:p>
        </w:tc>
        <w:tc>
          <w:tcPr>
            <w:tcW w:w="12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(288.8)</w:t>
            </w:r>
          </w:p>
        </w:tc>
        <w:tc>
          <w:tcPr>
            <w:tcW w:w="0" w:type="dxa"/>
            <w:vAlign w:val="bottom"/>
          </w:tcPr>
          <w:p>
            <w:pPr>
              <w:spacing w:after="0"/>
              <w:rPr>
                <w:sz w:val="1"/>
                <w:szCs w:val="1"/>
                <w:color w:val="auto"/>
              </w:rPr>
            </w:pPr>
          </w:p>
        </w:tc>
      </w:tr>
      <w:tr>
        <w:trPr>
          <w:trHeight w:val="210"/>
        </w:trPr>
        <w:tc>
          <w:tcPr>
            <w:tcW w:w="5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Non-operating income (expenses), net:</w:t>
            </w: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44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Interest expense and other financing costs, net</w:t>
            </w:r>
          </w:p>
        </w:tc>
        <w:tc>
          <w:tcPr>
            <w:tcW w:w="2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(30.8)</w:t>
            </w:r>
          </w:p>
        </w:tc>
        <w:tc>
          <w:tcPr>
            <w:tcW w:w="1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(25.9)</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(87.7)</w:t>
            </w:r>
          </w:p>
        </w:tc>
        <w:tc>
          <w:tcPr>
            <w:tcW w:w="1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(74.4)</w:t>
            </w:r>
          </w:p>
        </w:tc>
        <w:tc>
          <w:tcPr>
            <w:tcW w:w="0" w:type="dxa"/>
            <w:vAlign w:val="bottom"/>
          </w:tcPr>
          <w:p>
            <w:pPr>
              <w:spacing w:after="0"/>
              <w:rPr>
                <w:sz w:val="1"/>
                <w:szCs w:val="1"/>
                <w:color w:val="auto"/>
              </w:rPr>
            </w:pPr>
          </w:p>
        </w:tc>
      </w:tr>
      <w:tr>
        <w:trPr>
          <w:trHeight w:val="230"/>
        </w:trPr>
        <w:tc>
          <w:tcPr>
            <w:tcW w:w="54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Other income (expense), net</w:t>
            </w:r>
          </w:p>
        </w:tc>
        <w:tc>
          <w:tcPr>
            <w:tcW w:w="220" w:type="dxa"/>
            <w:vAlign w:val="bottom"/>
            <w:tcBorders>
              <w:bottom w:val="single" w:sz="8" w:color="auto"/>
            </w:tcBorders>
            <w:shd w:val="clear" w:color="auto" w:fill="CCEEFF"/>
          </w:tcPr>
          <w:p>
            <w:pPr>
              <w:spacing w:after="0"/>
              <w:rPr>
                <w:sz w:val="20"/>
                <w:szCs w:val="20"/>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7.0</w:t>
            </w:r>
          </w:p>
        </w:tc>
        <w:tc>
          <w:tcPr>
            <w:tcW w:w="140" w:type="dxa"/>
            <w:vAlign w:val="bottom"/>
            <w:shd w:val="clear" w:color="auto" w:fill="CCEEFF"/>
          </w:tcPr>
          <w:p>
            <w:pPr>
              <w:spacing w:after="0"/>
              <w:rPr>
                <w:sz w:val="20"/>
                <w:szCs w:val="20"/>
                <w:color w:val="auto"/>
              </w:rPr>
            </w:pPr>
          </w:p>
        </w:tc>
        <w:tc>
          <w:tcPr>
            <w:tcW w:w="480" w:type="dxa"/>
            <w:vAlign w:val="bottom"/>
            <w:tcBorders>
              <w:bottom w:val="single" w:sz="8" w:color="auto"/>
            </w:tcBorders>
            <w:shd w:val="clear" w:color="auto" w:fill="CCEEFF"/>
          </w:tcPr>
          <w:p>
            <w:pPr>
              <w:spacing w:after="0"/>
              <w:rPr>
                <w:sz w:val="20"/>
                <w:szCs w:val="20"/>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w:t>
            </w:r>
          </w:p>
        </w:tc>
        <w:tc>
          <w:tcPr>
            <w:tcW w:w="120" w:type="dxa"/>
            <w:vAlign w:val="bottom"/>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spacing w:after="0"/>
              <w:rPr>
                <w:sz w:val="20"/>
                <w:szCs w:val="20"/>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10.0</w:t>
            </w:r>
          </w:p>
        </w:tc>
        <w:tc>
          <w:tcPr>
            <w:tcW w:w="120" w:type="dxa"/>
            <w:vAlign w:val="bottom"/>
            <w:shd w:val="clear" w:color="auto" w:fill="CCEEFF"/>
          </w:tcPr>
          <w:p>
            <w:pPr>
              <w:spacing w:after="0"/>
              <w:rPr>
                <w:sz w:val="20"/>
                <w:szCs w:val="20"/>
                <w:color w:val="auto"/>
              </w:rPr>
            </w:pPr>
          </w:p>
        </w:tc>
        <w:tc>
          <w:tcPr>
            <w:tcW w:w="500" w:type="dxa"/>
            <w:vAlign w:val="bottom"/>
            <w:tcBorders>
              <w:bottom w:val="single" w:sz="8" w:color="auto"/>
            </w:tcBorders>
            <w:shd w:val="clear" w:color="auto" w:fill="CCEEFF"/>
          </w:tcPr>
          <w:p>
            <w:pPr>
              <w:spacing w:after="0"/>
              <w:rPr>
                <w:sz w:val="20"/>
                <w:szCs w:val="20"/>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(74.8)</w:t>
            </w:r>
          </w:p>
        </w:tc>
        <w:tc>
          <w:tcPr>
            <w:tcW w:w="0" w:type="dxa"/>
            <w:vAlign w:val="bottom"/>
          </w:tcPr>
          <w:p>
            <w:pPr>
              <w:spacing w:after="0"/>
              <w:rPr>
                <w:sz w:val="1"/>
                <w:szCs w:val="1"/>
                <w:color w:val="auto"/>
              </w:rPr>
            </w:pPr>
          </w:p>
        </w:tc>
      </w:tr>
      <w:tr>
        <w:trPr>
          <w:trHeight w:val="223"/>
        </w:trPr>
        <w:tc>
          <w:tcPr>
            <w:tcW w:w="544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7"/>
                <w:szCs w:val="17"/>
                <w:color w:val="auto"/>
              </w:rPr>
              <w:t>Total non-operating income (expense), net</w:t>
            </w:r>
          </w:p>
        </w:tc>
        <w:tc>
          <w:tcPr>
            <w:tcW w:w="2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(23.8)</w:t>
            </w:r>
          </w:p>
        </w:tc>
        <w:tc>
          <w:tcPr>
            <w:tcW w:w="14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(24.0)</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(77.6)</w:t>
            </w:r>
          </w:p>
        </w:tc>
        <w:tc>
          <w:tcPr>
            <w:tcW w:w="12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(149.2)</w:t>
            </w:r>
          </w:p>
        </w:tc>
        <w:tc>
          <w:tcPr>
            <w:tcW w:w="0" w:type="dxa"/>
            <w:vAlign w:val="bottom"/>
          </w:tcPr>
          <w:p>
            <w:pPr>
              <w:spacing w:after="0"/>
              <w:rPr>
                <w:sz w:val="1"/>
                <w:szCs w:val="1"/>
                <w:color w:val="auto"/>
              </w:rPr>
            </w:pPr>
          </w:p>
        </w:tc>
      </w:tr>
      <w:tr>
        <w:trPr>
          <w:trHeight w:val="223"/>
        </w:trPr>
        <w:tc>
          <w:tcPr>
            <w:tcW w:w="5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Income (loss) before income taxes</w:t>
            </w:r>
          </w:p>
        </w:tc>
        <w:tc>
          <w:tcPr>
            <w:tcW w:w="2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56.3</w:t>
            </w:r>
          </w:p>
        </w:tc>
        <w:tc>
          <w:tcPr>
            <w:tcW w:w="14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38.8</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154.8</w:t>
            </w: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(438.0)</w:t>
            </w:r>
          </w:p>
        </w:tc>
        <w:tc>
          <w:tcPr>
            <w:tcW w:w="0" w:type="dxa"/>
            <w:vAlign w:val="bottom"/>
          </w:tcPr>
          <w:p>
            <w:pPr>
              <w:spacing w:after="0"/>
              <w:rPr>
                <w:sz w:val="1"/>
                <w:szCs w:val="1"/>
                <w:color w:val="auto"/>
              </w:rPr>
            </w:pPr>
          </w:p>
        </w:tc>
      </w:tr>
      <w:tr>
        <w:trPr>
          <w:trHeight w:val="230"/>
        </w:trPr>
        <w:tc>
          <w:tcPr>
            <w:tcW w:w="54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Income tax expense (benefit)</w:t>
            </w:r>
          </w:p>
        </w:tc>
        <w:tc>
          <w:tcPr>
            <w:tcW w:w="2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18.4</w:t>
            </w:r>
          </w:p>
        </w:tc>
        <w:tc>
          <w:tcPr>
            <w:tcW w:w="140" w:type="dxa"/>
            <w:vAlign w:val="bottom"/>
            <w:tcBorders>
              <w:bottom w:val="single" w:sz="8" w:color="CCEEFF"/>
            </w:tcBorders>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10.7</w:t>
            </w:r>
          </w:p>
        </w:tc>
        <w:tc>
          <w:tcPr>
            <w:tcW w:w="12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41.6</w:t>
            </w:r>
          </w:p>
        </w:tc>
        <w:tc>
          <w:tcPr>
            <w:tcW w:w="120" w:type="dxa"/>
            <w:vAlign w:val="bottom"/>
            <w:tcBorders>
              <w:bottom w:val="single" w:sz="8" w:color="CCEEFF"/>
            </w:tcBorders>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(105.8)</w:t>
            </w:r>
          </w:p>
        </w:tc>
        <w:tc>
          <w:tcPr>
            <w:tcW w:w="0" w:type="dxa"/>
            <w:vAlign w:val="bottom"/>
          </w:tcPr>
          <w:p>
            <w:pPr>
              <w:spacing w:after="0"/>
              <w:rPr>
                <w:sz w:val="1"/>
                <w:szCs w:val="1"/>
                <w:color w:val="auto"/>
              </w:rPr>
            </w:pPr>
          </w:p>
        </w:tc>
      </w:tr>
      <w:tr>
        <w:trPr>
          <w:trHeight w:val="223"/>
        </w:trPr>
        <w:tc>
          <w:tcPr>
            <w:tcW w:w="5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income (loss) including noncontrolling interest</w:t>
            </w:r>
          </w:p>
        </w:tc>
        <w:tc>
          <w:tcPr>
            <w:tcW w:w="2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37.9</w:t>
            </w:r>
          </w:p>
        </w:tc>
        <w:tc>
          <w:tcPr>
            <w:tcW w:w="14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28.1</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113.2</w:t>
            </w: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(332.2)</w:t>
            </w:r>
          </w:p>
        </w:tc>
        <w:tc>
          <w:tcPr>
            <w:tcW w:w="0" w:type="dxa"/>
            <w:vAlign w:val="bottom"/>
          </w:tcPr>
          <w:p>
            <w:pPr>
              <w:spacing w:after="0"/>
              <w:rPr>
                <w:sz w:val="1"/>
                <w:szCs w:val="1"/>
                <w:color w:val="auto"/>
              </w:rPr>
            </w:pPr>
          </w:p>
        </w:tc>
      </w:tr>
      <w:tr>
        <w:trPr>
          <w:trHeight w:val="230"/>
        </w:trPr>
        <w:tc>
          <w:tcPr>
            <w:tcW w:w="54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Net income (loss) attributable to noncontrolling interest</w:t>
            </w:r>
          </w:p>
        </w:tc>
        <w:tc>
          <w:tcPr>
            <w:tcW w:w="2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(0.2)</w:t>
            </w:r>
          </w:p>
        </w:tc>
        <w:tc>
          <w:tcPr>
            <w:tcW w:w="140" w:type="dxa"/>
            <w:vAlign w:val="bottom"/>
            <w:tcBorders>
              <w:bottom w:val="single" w:sz="8" w:color="CCEEFF"/>
            </w:tcBorders>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2.4</w:t>
            </w:r>
          </w:p>
        </w:tc>
        <w:tc>
          <w:tcPr>
            <w:tcW w:w="12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0.6</w:t>
            </w:r>
          </w:p>
        </w:tc>
        <w:tc>
          <w:tcPr>
            <w:tcW w:w="120" w:type="dxa"/>
            <w:vAlign w:val="bottom"/>
            <w:tcBorders>
              <w:bottom w:val="single" w:sz="8" w:color="CCEEFF"/>
            </w:tcBorders>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2.5</w:t>
            </w:r>
          </w:p>
        </w:tc>
        <w:tc>
          <w:tcPr>
            <w:tcW w:w="0" w:type="dxa"/>
            <w:vAlign w:val="bottom"/>
          </w:tcPr>
          <w:p>
            <w:pPr>
              <w:spacing w:after="0"/>
              <w:rPr>
                <w:sz w:val="1"/>
                <w:szCs w:val="1"/>
                <w:color w:val="auto"/>
              </w:rPr>
            </w:pPr>
          </w:p>
        </w:tc>
      </w:tr>
      <w:tr>
        <w:trPr>
          <w:trHeight w:val="248"/>
        </w:trPr>
        <w:tc>
          <w:tcPr>
            <w:tcW w:w="5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income (loss) attributable to World Kinect</w:t>
            </w:r>
          </w:p>
        </w:tc>
        <w:tc>
          <w:tcPr>
            <w:tcW w:w="220" w:type="dxa"/>
            <w:vAlign w:val="bottom"/>
            <w:tcBorders>
              <w:bottom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38.0</w:t>
            </w:r>
          </w:p>
        </w:tc>
        <w:tc>
          <w:tcPr>
            <w:tcW w:w="14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jc w:val="right"/>
              <w:ind w:right="295"/>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25.7</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112.6</w:t>
            </w: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jc w:val="right"/>
              <w:ind w:right="295"/>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(334.7)</w:t>
            </w:r>
          </w:p>
        </w:tc>
        <w:tc>
          <w:tcPr>
            <w:tcW w:w="0" w:type="dxa"/>
            <w:vAlign w:val="bottom"/>
          </w:tcPr>
          <w:p>
            <w:pPr>
              <w:spacing w:after="0"/>
              <w:rPr>
                <w:sz w:val="1"/>
                <w:szCs w:val="1"/>
                <w:color w:val="auto"/>
              </w:rPr>
            </w:pPr>
          </w:p>
        </w:tc>
      </w:tr>
      <w:tr>
        <w:trPr>
          <w:trHeight w:val="20"/>
        </w:trPr>
        <w:tc>
          <w:tcPr>
            <w:tcW w:w="54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54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Basic earnings (loss) per common share</w:t>
            </w:r>
          </w:p>
        </w:tc>
        <w:tc>
          <w:tcPr>
            <w:tcW w:w="22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0.74</w:t>
            </w:r>
          </w:p>
        </w:tc>
        <w:tc>
          <w:tcPr>
            <w:tcW w:w="140" w:type="dxa"/>
            <w:vAlign w:val="bottom"/>
          </w:tcPr>
          <w:p>
            <w:pPr>
              <w:spacing w:after="0"/>
              <w:rPr>
                <w:sz w:val="17"/>
                <w:szCs w:val="17"/>
                <w:color w:val="auto"/>
              </w:rPr>
            </w:pPr>
          </w:p>
        </w:tc>
        <w:tc>
          <w:tcPr>
            <w:tcW w:w="480" w:type="dxa"/>
            <w:vAlign w:val="bottom"/>
            <w:tcBorders>
              <w:bottom w:val="single" w:sz="8" w:color="auto"/>
            </w:tcBorders>
          </w:tcPr>
          <w:p>
            <w:pPr>
              <w:jc w:val="right"/>
              <w:ind w:right="295"/>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0.46</w:t>
            </w:r>
          </w:p>
        </w:tc>
        <w:tc>
          <w:tcPr>
            <w:tcW w:w="120" w:type="dxa"/>
            <w:vAlign w:val="bottom"/>
          </w:tcPr>
          <w:p>
            <w:pPr>
              <w:spacing w:after="0"/>
              <w:rPr>
                <w:sz w:val="17"/>
                <w:szCs w:val="17"/>
                <w:color w:val="auto"/>
              </w:rPr>
            </w:pPr>
          </w:p>
        </w:tc>
        <w:tc>
          <w:tcPr>
            <w:tcW w:w="260" w:type="dxa"/>
            <w:vAlign w:val="bottom"/>
            <w:tcBorders>
              <w:bottom w:val="single" w:sz="8" w:color="auto"/>
            </w:tcBorders>
          </w:tcPr>
          <w:p>
            <w:pPr>
              <w:jc w:val="right"/>
              <w:ind w:right="75"/>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2.19</w:t>
            </w:r>
          </w:p>
        </w:tc>
        <w:tc>
          <w:tcPr>
            <w:tcW w:w="120" w:type="dxa"/>
            <w:vAlign w:val="bottom"/>
          </w:tcPr>
          <w:p>
            <w:pPr>
              <w:spacing w:after="0"/>
              <w:rPr>
                <w:sz w:val="17"/>
                <w:szCs w:val="17"/>
                <w:color w:val="auto"/>
              </w:rPr>
            </w:pPr>
          </w:p>
        </w:tc>
        <w:tc>
          <w:tcPr>
            <w:tcW w:w="500" w:type="dxa"/>
            <w:vAlign w:val="bottom"/>
            <w:tcBorders>
              <w:bottom w:val="single" w:sz="8" w:color="auto"/>
            </w:tcBorders>
          </w:tcPr>
          <w:p>
            <w:pPr>
              <w:jc w:val="right"/>
              <w:ind w:right="295"/>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(5.95)</w:t>
            </w:r>
          </w:p>
        </w:tc>
        <w:tc>
          <w:tcPr>
            <w:tcW w:w="0" w:type="dxa"/>
            <w:vAlign w:val="bottom"/>
          </w:tcPr>
          <w:p>
            <w:pPr>
              <w:spacing w:after="0"/>
              <w:rPr>
                <w:sz w:val="1"/>
                <w:szCs w:val="1"/>
                <w:color w:val="auto"/>
              </w:rPr>
            </w:pPr>
          </w:p>
        </w:tc>
      </w:tr>
      <w:tr>
        <w:trPr>
          <w:trHeight w:val="20"/>
        </w:trPr>
        <w:tc>
          <w:tcPr>
            <w:tcW w:w="544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7"/>
        </w:trPr>
        <w:tc>
          <w:tcPr>
            <w:tcW w:w="5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Basic weighted average common shares</w:t>
            </w:r>
          </w:p>
        </w:tc>
        <w:tc>
          <w:tcPr>
            <w:tcW w:w="22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51.2</w:t>
            </w:r>
          </w:p>
        </w:tc>
        <w:tc>
          <w:tcPr>
            <w:tcW w:w="14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55.6</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51.4</w:t>
            </w: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spacing w:after="0"/>
              <w:rPr>
                <w:sz w:val="21"/>
                <w:szCs w:val="21"/>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56.2</w:t>
            </w:r>
          </w:p>
        </w:tc>
        <w:tc>
          <w:tcPr>
            <w:tcW w:w="0" w:type="dxa"/>
            <w:vAlign w:val="bottom"/>
          </w:tcPr>
          <w:p>
            <w:pPr>
              <w:spacing w:after="0"/>
              <w:rPr>
                <w:sz w:val="1"/>
                <w:szCs w:val="1"/>
                <w:color w:val="auto"/>
              </w:rPr>
            </w:pPr>
          </w:p>
        </w:tc>
      </w:tr>
      <w:tr>
        <w:trPr>
          <w:trHeight w:val="20"/>
        </w:trPr>
        <w:tc>
          <w:tcPr>
            <w:tcW w:w="54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54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Diluted earnings (loss) per common share</w:t>
            </w:r>
          </w:p>
        </w:tc>
        <w:tc>
          <w:tcPr>
            <w:tcW w:w="22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0.70</w:t>
            </w:r>
          </w:p>
        </w:tc>
        <w:tc>
          <w:tcPr>
            <w:tcW w:w="140" w:type="dxa"/>
            <w:vAlign w:val="bottom"/>
          </w:tcPr>
          <w:p>
            <w:pPr>
              <w:spacing w:after="0"/>
              <w:rPr>
                <w:sz w:val="17"/>
                <w:szCs w:val="17"/>
                <w:color w:val="auto"/>
              </w:rPr>
            </w:pPr>
          </w:p>
        </w:tc>
        <w:tc>
          <w:tcPr>
            <w:tcW w:w="480" w:type="dxa"/>
            <w:vAlign w:val="bottom"/>
            <w:tcBorders>
              <w:bottom w:val="single" w:sz="8" w:color="auto"/>
            </w:tcBorders>
          </w:tcPr>
          <w:p>
            <w:pPr>
              <w:jc w:val="right"/>
              <w:ind w:right="295"/>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0.46</w:t>
            </w:r>
          </w:p>
        </w:tc>
        <w:tc>
          <w:tcPr>
            <w:tcW w:w="120" w:type="dxa"/>
            <w:vAlign w:val="bottom"/>
          </w:tcPr>
          <w:p>
            <w:pPr>
              <w:spacing w:after="0"/>
              <w:rPr>
                <w:sz w:val="17"/>
                <w:szCs w:val="17"/>
                <w:color w:val="auto"/>
              </w:rPr>
            </w:pPr>
          </w:p>
        </w:tc>
        <w:tc>
          <w:tcPr>
            <w:tcW w:w="260" w:type="dxa"/>
            <w:vAlign w:val="bottom"/>
            <w:tcBorders>
              <w:bottom w:val="single" w:sz="8" w:color="auto"/>
            </w:tcBorders>
          </w:tcPr>
          <w:p>
            <w:pPr>
              <w:jc w:val="right"/>
              <w:ind w:right="75"/>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2.14</w:t>
            </w:r>
          </w:p>
        </w:tc>
        <w:tc>
          <w:tcPr>
            <w:tcW w:w="120" w:type="dxa"/>
            <w:vAlign w:val="bottom"/>
          </w:tcPr>
          <w:p>
            <w:pPr>
              <w:spacing w:after="0"/>
              <w:rPr>
                <w:sz w:val="17"/>
                <w:szCs w:val="17"/>
                <w:color w:val="auto"/>
              </w:rPr>
            </w:pPr>
          </w:p>
        </w:tc>
        <w:tc>
          <w:tcPr>
            <w:tcW w:w="500" w:type="dxa"/>
            <w:vAlign w:val="bottom"/>
            <w:tcBorders>
              <w:bottom w:val="single" w:sz="8" w:color="auto"/>
            </w:tcBorders>
          </w:tcPr>
          <w:p>
            <w:pPr>
              <w:jc w:val="right"/>
              <w:ind w:right="295"/>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(5.95)</w:t>
            </w:r>
          </w:p>
        </w:tc>
        <w:tc>
          <w:tcPr>
            <w:tcW w:w="0" w:type="dxa"/>
            <w:vAlign w:val="bottom"/>
          </w:tcPr>
          <w:p>
            <w:pPr>
              <w:spacing w:after="0"/>
              <w:rPr>
                <w:sz w:val="1"/>
                <w:szCs w:val="1"/>
                <w:color w:val="auto"/>
              </w:rPr>
            </w:pPr>
          </w:p>
        </w:tc>
      </w:tr>
      <w:tr>
        <w:trPr>
          <w:trHeight w:val="20"/>
        </w:trPr>
        <w:tc>
          <w:tcPr>
            <w:tcW w:w="544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7"/>
        </w:trPr>
        <w:tc>
          <w:tcPr>
            <w:tcW w:w="5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Diluted weighted average common shares</w:t>
            </w:r>
          </w:p>
        </w:tc>
        <w:tc>
          <w:tcPr>
            <w:tcW w:w="22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54.4</w:t>
            </w:r>
          </w:p>
        </w:tc>
        <w:tc>
          <w:tcPr>
            <w:tcW w:w="14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55.9</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52.5</w:t>
            </w: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spacing w:after="0"/>
              <w:rPr>
                <w:sz w:val="21"/>
                <w:szCs w:val="21"/>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56.2</w:t>
            </w:r>
          </w:p>
        </w:tc>
        <w:tc>
          <w:tcPr>
            <w:tcW w:w="0" w:type="dxa"/>
            <w:vAlign w:val="bottom"/>
          </w:tcPr>
          <w:p>
            <w:pPr>
              <w:spacing w:after="0"/>
              <w:rPr>
                <w:sz w:val="1"/>
                <w:szCs w:val="1"/>
                <w:color w:val="auto"/>
              </w:rPr>
            </w:pPr>
          </w:p>
        </w:tc>
      </w:tr>
      <w:tr>
        <w:trPr>
          <w:trHeight w:val="20"/>
        </w:trPr>
        <w:tc>
          <w:tcPr>
            <w:tcW w:w="544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7"/>
                <w:szCs w:val="17"/>
                <w:color w:val="auto"/>
              </w:rPr>
              <w:t>Comprehensive income (loss):</w:t>
            </w: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544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5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income (loss) including noncontrolling interest</w:t>
            </w:r>
          </w:p>
        </w:tc>
        <w:tc>
          <w:tcPr>
            <w:tcW w:w="220" w:type="dxa"/>
            <w:vAlign w:val="bottom"/>
            <w:tcBorders>
              <w:bottom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37.9</w:t>
            </w:r>
          </w:p>
        </w:tc>
        <w:tc>
          <w:tcPr>
            <w:tcW w:w="140" w:type="dxa"/>
            <w:vAlign w:val="bottom"/>
            <w:shd w:val="clear" w:color="auto" w:fill="CCEEFF"/>
          </w:tcPr>
          <w:p>
            <w:pPr>
              <w:spacing w:after="0"/>
              <w:rPr>
                <w:sz w:val="20"/>
                <w:szCs w:val="20"/>
                <w:color w:val="auto"/>
              </w:rPr>
            </w:pPr>
          </w:p>
        </w:tc>
        <w:tc>
          <w:tcPr>
            <w:tcW w:w="480" w:type="dxa"/>
            <w:vAlign w:val="bottom"/>
            <w:tcBorders>
              <w:bottom w:val="single" w:sz="8" w:color="auto"/>
            </w:tcBorders>
            <w:shd w:val="clear" w:color="auto" w:fill="CCEEFF"/>
          </w:tcPr>
          <w:p>
            <w:pPr>
              <w:jc w:val="right"/>
              <w:ind w:right="295"/>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28.1</w:t>
            </w:r>
          </w:p>
        </w:tc>
        <w:tc>
          <w:tcPr>
            <w:tcW w:w="120" w:type="dxa"/>
            <w:vAlign w:val="bottom"/>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113.2</w:t>
            </w:r>
          </w:p>
        </w:tc>
        <w:tc>
          <w:tcPr>
            <w:tcW w:w="120" w:type="dxa"/>
            <w:vAlign w:val="bottom"/>
            <w:shd w:val="clear" w:color="auto" w:fill="CCEEFF"/>
          </w:tcPr>
          <w:p>
            <w:pPr>
              <w:spacing w:after="0"/>
              <w:rPr>
                <w:sz w:val="20"/>
                <w:szCs w:val="20"/>
                <w:color w:val="auto"/>
              </w:rPr>
            </w:pPr>
          </w:p>
        </w:tc>
        <w:tc>
          <w:tcPr>
            <w:tcW w:w="500" w:type="dxa"/>
            <w:vAlign w:val="bottom"/>
            <w:tcBorders>
              <w:bottom w:val="single" w:sz="8" w:color="auto"/>
            </w:tcBorders>
            <w:shd w:val="clear" w:color="auto" w:fill="CCEEFF"/>
          </w:tcPr>
          <w:p>
            <w:pPr>
              <w:jc w:val="right"/>
              <w:ind w:right="295"/>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(332.2)</w:t>
            </w:r>
          </w:p>
        </w:tc>
        <w:tc>
          <w:tcPr>
            <w:tcW w:w="0" w:type="dxa"/>
            <w:vAlign w:val="bottom"/>
          </w:tcPr>
          <w:p>
            <w:pPr>
              <w:spacing w:after="0"/>
              <w:rPr>
                <w:sz w:val="1"/>
                <w:szCs w:val="1"/>
                <w:color w:val="auto"/>
              </w:rPr>
            </w:pPr>
          </w:p>
        </w:tc>
      </w:tr>
      <w:tr>
        <w:trPr>
          <w:trHeight w:val="210"/>
        </w:trPr>
        <w:tc>
          <w:tcPr>
            <w:tcW w:w="54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Other comprehensive income (loss):</w:t>
            </w: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4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Foreign currency translation adjustments</w:t>
            </w:r>
          </w:p>
        </w:tc>
        <w:tc>
          <w:tcPr>
            <w:tcW w:w="220" w:type="dxa"/>
            <w:vAlign w:val="bottom"/>
            <w:shd w:val="clear" w:color="auto" w:fill="CCEEFF"/>
          </w:tcPr>
          <w:p>
            <w:pPr>
              <w:spacing w:after="0"/>
              <w:rPr>
                <w:sz w:val="20"/>
                <w:szCs w:val="20"/>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w:t>
            </w:r>
          </w:p>
        </w:tc>
        <w:tc>
          <w:tcPr>
            <w:tcW w:w="14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(0.3)</w:t>
            </w:r>
          </w:p>
        </w:tc>
        <w:tc>
          <w:tcPr>
            <w:tcW w:w="1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(5.4)</w:t>
            </w:r>
          </w:p>
        </w:tc>
        <w:tc>
          <w:tcPr>
            <w:tcW w:w="12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74.0</w:t>
            </w:r>
          </w:p>
        </w:tc>
        <w:tc>
          <w:tcPr>
            <w:tcW w:w="0" w:type="dxa"/>
            <w:vAlign w:val="bottom"/>
          </w:tcPr>
          <w:p>
            <w:pPr>
              <w:spacing w:after="0"/>
              <w:rPr>
                <w:sz w:val="1"/>
                <w:szCs w:val="1"/>
                <w:color w:val="auto"/>
              </w:rPr>
            </w:pPr>
          </w:p>
        </w:tc>
      </w:tr>
      <w:tr>
        <w:trPr>
          <w:trHeight w:val="179"/>
        </w:trPr>
        <w:tc>
          <w:tcPr>
            <w:tcW w:w="5440" w:type="dxa"/>
            <w:vAlign w:val="bottom"/>
          </w:tcPr>
          <w:p>
            <w:pPr>
              <w:ind w:left="140"/>
              <w:spacing w:after="0" w:line="180" w:lineRule="exact"/>
              <w:rPr>
                <w:sz w:val="20"/>
                <w:szCs w:val="20"/>
                <w:color w:val="auto"/>
              </w:rPr>
            </w:pPr>
            <w:r>
              <w:rPr>
                <w:rFonts w:ascii="Times New Roman" w:cs="Times New Roman" w:eastAsia="Times New Roman" w:hAnsi="Times New Roman"/>
                <w:sz w:val="17"/>
                <w:szCs w:val="17"/>
                <w:color w:val="auto"/>
              </w:rPr>
              <w:t>Cash flow hedges, net of income tax expense (benefit) of ($4.6) and ($0.1)</w:t>
            </w:r>
          </w:p>
        </w:tc>
        <w:tc>
          <w:tcPr>
            <w:tcW w:w="2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5440" w:type="dxa"/>
            <w:vAlign w:val="bottom"/>
          </w:tcPr>
          <w:p>
            <w:pPr>
              <w:ind w:left="140"/>
              <w:spacing w:after="0" w:line="176" w:lineRule="exact"/>
              <w:rPr>
                <w:sz w:val="20"/>
                <w:szCs w:val="20"/>
                <w:color w:val="auto"/>
              </w:rPr>
            </w:pPr>
            <w:r>
              <w:rPr>
                <w:rFonts w:ascii="Times New Roman" w:cs="Times New Roman" w:eastAsia="Times New Roman" w:hAnsi="Times New Roman"/>
                <w:sz w:val="17"/>
                <w:szCs w:val="17"/>
                <w:color w:val="auto"/>
              </w:rPr>
              <w:t>for the three months ended September 30, 2026 and 2025, respectively, and</w:t>
            </w:r>
          </w:p>
        </w:tc>
        <w:tc>
          <w:tcPr>
            <w:tcW w:w="2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0"/>
        </w:trPr>
        <w:tc>
          <w:tcPr>
            <w:tcW w:w="5440" w:type="dxa"/>
            <w:vAlign w:val="bottom"/>
          </w:tcPr>
          <w:p>
            <w:pPr>
              <w:ind w:left="140"/>
              <w:spacing w:after="0" w:line="170" w:lineRule="exact"/>
              <w:rPr>
                <w:sz w:val="20"/>
                <w:szCs w:val="20"/>
                <w:color w:val="auto"/>
              </w:rPr>
            </w:pPr>
            <w:r>
              <w:rPr>
                <w:rFonts w:ascii="Times New Roman" w:cs="Times New Roman" w:eastAsia="Times New Roman" w:hAnsi="Times New Roman"/>
                <w:sz w:val="17"/>
                <w:szCs w:val="17"/>
                <w:color w:val="auto"/>
              </w:rPr>
              <w:t>net of income tax expense (benefit) of $(9.7) and $(0.6) for the nine</w:t>
            </w:r>
          </w:p>
        </w:tc>
        <w:tc>
          <w:tcPr>
            <w:tcW w:w="220" w:type="dxa"/>
            <w:vAlign w:val="bottom"/>
          </w:tcPr>
          <w:p>
            <w:pPr>
              <w:spacing w:after="0"/>
              <w:rPr>
                <w:sz w:val="14"/>
                <w:szCs w:val="14"/>
                <w:color w:val="auto"/>
              </w:rPr>
            </w:pPr>
          </w:p>
        </w:tc>
        <w:tc>
          <w:tcPr>
            <w:tcW w:w="112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(10.6)</w:t>
            </w:r>
          </w:p>
        </w:tc>
        <w:tc>
          <w:tcPr>
            <w:tcW w:w="1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(0.3)</w:t>
            </w: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(24.6)</w:t>
            </w: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(1.5)</w:t>
            </w:r>
          </w:p>
        </w:tc>
        <w:tc>
          <w:tcPr>
            <w:tcW w:w="0" w:type="dxa"/>
            <w:vAlign w:val="bottom"/>
          </w:tcPr>
          <w:p>
            <w:pPr>
              <w:spacing w:after="0"/>
              <w:rPr>
                <w:sz w:val="1"/>
                <w:szCs w:val="1"/>
                <w:color w:val="auto"/>
              </w:rPr>
            </w:pPr>
          </w:p>
        </w:tc>
      </w:tr>
      <w:tr>
        <w:trPr>
          <w:trHeight w:val="218"/>
        </w:trPr>
        <w:tc>
          <w:tcPr>
            <w:tcW w:w="54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7"/>
                <w:szCs w:val="17"/>
                <w:color w:val="auto"/>
              </w:rPr>
              <w:t>months ended September 30, 2026 and 2025, respectively</w:t>
            </w:r>
          </w:p>
        </w:tc>
        <w:tc>
          <w:tcPr>
            <w:tcW w:w="2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vMerge w:val="continue"/>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vMerge w:val="continue"/>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vMerge w:val="continue"/>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4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7"/>
                <w:szCs w:val="17"/>
                <w:color w:val="auto"/>
              </w:rPr>
              <w:t>Total other comprehensive income (loss)</w:t>
            </w:r>
          </w:p>
        </w:tc>
        <w:tc>
          <w:tcPr>
            <w:tcW w:w="2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(14.7)</w:t>
            </w:r>
          </w:p>
        </w:tc>
        <w:tc>
          <w:tcPr>
            <w:tcW w:w="14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(0.6)</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(30.0)</w:t>
            </w:r>
          </w:p>
        </w:tc>
        <w:tc>
          <w:tcPr>
            <w:tcW w:w="12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72.5</w:t>
            </w:r>
          </w:p>
        </w:tc>
        <w:tc>
          <w:tcPr>
            <w:tcW w:w="0" w:type="dxa"/>
            <w:vAlign w:val="bottom"/>
          </w:tcPr>
          <w:p>
            <w:pPr>
              <w:spacing w:after="0"/>
              <w:rPr>
                <w:sz w:val="1"/>
                <w:szCs w:val="1"/>
                <w:color w:val="auto"/>
              </w:rPr>
            </w:pPr>
          </w:p>
        </w:tc>
      </w:tr>
      <w:tr>
        <w:trPr>
          <w:trHeight w:val="223"/>
        </w:trPr>
        <w:tc>
          <w:tcPr>
            <w:tcW w:w="54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Comprehensive income (loss) including noncontrolling interest</w:t>
            </w:r>
          </w:p>
        </w:tc>
        <w:tc>
          <w:tcPr>
            <w:tcW w:w="2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23.2</w:t>
            </w:r>
          </w:p>
        </w:tc>
        <w:tc>
          <w:tcPr>
            <w:tcW w:w="1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27.5</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83.2</w:t>
            </w: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(259.7)</w:t>
            </w:r>
          </w:p>
        </w:tc>
        <w:tc>
          <w:tcPr>
            <w:tcW w:w="0" w:type="dxa"/>
            <w:vAlign w:val="bottom"/>
          </w:tcPr>
          <w:p>
            <w:pPr>
              <w:spacing w:after="0"/>
              <w:rPr>
                <w:sz w:val="1"/>
                <w:szCs w:val="1"/>
                <w:color w:val="auto"/>
              </w:rPr>
            </w:pPr>
          </w:p>
        </w:tc>
      </w:tr>
      <w:tr>
        <w:trPr>
          <w:trHeight w:val="230"/>
        </w:trPr>
        <w:tc>
          <w:tcPr>
            <w:tcW w:w="5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Comprehensive income (loss) attributable to noncontrolling interest</w:t>
            </w:r>
          </w:p>
        </w:tc>
        <w:tc>
          <w:tcPr>
            <w:tcW w:w="220" w:type="dxa"/>
            <w:vAlign w:val="bottom"/>
            <w:tcBorders>
              <w:bottom w:val="single" w:sz="8" w:color="auto"/>
            </w:tcBorders>
            <w:shd w:val="clear" w:color="auto" w:fill="CCEEFF"/>
          </w:tcPr>
          <w:p>
            <w:pPr>
              <w:spacing w:after="0"/>
              <w:rPr>
                <w:sz w:val="20"/>
                <w:szCs w:val="20"/>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(0.2)</w:t>
            </w:r>
          </w:p>
        </w:tc>
        <w:tc>
          <w:tcPr>
            <w:tcW w:w="140" w:type="dxa"/>
            <w:vAlign w:val="bottom"/>
            <w:shd w:val="clear" w:color="auto" w:fill="CCEEFF"/>
          </w:tcPr>
          <w:p>
            <w:pPr>
              <w:spacing w:after="0"/>
              <w:rPr>
                <w:sz w:val="20"/>
                <w:szCs w:val="20"/>
                <w:color w:val="auto"/>
              </w:rPr>
            </w:pPr>
          </w:p>
        </w:tc>
        <w:tc>
          <w:tcPr>
            <w:tcW w:w="480" w:type="dxa"/>
            <w:vAlign w:val="bottom"/>
            <w:tcBorders>
              <w:bottom w:val="single" w:sz="8" w:color="auto"/>
            </w:tcBorders>
            <w:shd w:val="clear" w:color="auto" w:fill="CCEEFF"/>
          </w:tcPr>
          <w:p>
            <w:pPr>
              <w:spacing w:after="0"/>
              <w:rPr>
                <w:sz w:val="20"/>
                <w:szCs w:val="20"/>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w:t>
            </w:r>
          </w:p>
        </w:tc>
        <w:tc>
          <w:tcPr>
            <w:tcW w:w="120" w:type="dxa"/>
            <w:vAlign w:val="bottom"/>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spacing w:after="0"/>
              <w:rPr>
                <w:sz w:val="20"/>
                <w:szCs w:val="20"/>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0.6</w:t>
            </w:r>
          </w:p>
        </w:tc>
        <w:tc>
          <w:tcPr>
            <w:tcW w:w="120" w:type="dxa"/>
            <w:vAlign w:val="bottom"/>
            <w:shd w:val="clear" w:color="auto" w:fill="CCEEFF"/>
          </w:tcPr>
          <w:p>
            <w:pPr>
              <w:spacing w:after="0"/>
              <w:rPr>
                <w:sz w:val="20"/>
                <w:szCs w:val="20"/>
                <w:color w:val="auto"/>
              </w:rPr>
            </w:pPr>
          </w:p>
        </w:tc>
        <w:tc>
          <w:tcPr>
            <w:tcW w:w="500" w:type="dxa"/>
            <w:vAlign w:val="bottom"/>
            <w:tcBorders>
              <w:bottom w:val="single" w:sz="8" w:color="auto"/>
            </w:tcBorders>
            <w:shd w:val="clear" w:color="auto" w:fill="CCEEFF"/>
          </w:tcPr>
          <w:p>
            <w:pPr>
              <w:spacing w:after="0"/>
              <w:rPr>
                <w:sz w:val="20"/>
                <w:szCs w:val="20"/>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w:t>
            </w:r>
          </w:p>
        </w:tc>
        <w:tc>
          <w:tcPr>
            <w:tcW w:w="0" w:type="dxa"/>
            <w:vAlign w:val="bottom"/>
          </w:tcPr>
          <w:p>
            <w:pPr>
              <w:spacing w:after="0"/>
              <w:rPr>
                <w:sz w:val="1"/>
                <w:szCs w:val="1"/>
                <w:color w:val="auto"/>
              </w:rPr>
            </w:pPr>
          </w:p>
        </w:tc>
      </w:tr>
      <w:tr>
        <w:trPr>
          <w:trHeight w:val="223"/>
        </w:trPr>
        <w:tc>
          <w:tcPr>
            <w:tcW w:w="54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Comprehensive income (loss) attributable to World Kinect</w:t>
            </w:r>
          </w:p>
        </w:tc>
        <w:tc>
          <w:tcPr>
            <w:tcW w:w="22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23.4</w:t>
            </w:r>
          </w:p>
        </w:tc>
        <w:tc>
          <w:tcPr>
            <w:tcW w:w="140" w:type="dxa"/>
            <w:vAlign w:val="bottom"/>
          </w:tcPr>
          <w:p>
            <w:pPr>
              <w:spacing w:after="0"/>
              <w:rPr>
                <w:sz w:val="19"/>
                <w:szCs w:val="19"/>
                <w:color w:val="auto"/>
              </w:rPr>
            </w:pPr>
          </w:p>
        </w:tc>
        <w:tc>
          <w:tcPr>
            <w:tcW w:w="480" w:type="dxa"/>
            <w:vAlign w:val="bottom"/>
            <w:tcBorders>
              <w:bottom w:val="single" w:sz="8" w:color="auto"/>
            </w:tcBorders>
          </w:tcPr>
          <w:p>
            <w:pPr>
              <w:jc w:val="right"/>
              <w:ind w:right="295"/>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25.1</w:t>
            </w:r>
          </w:p>
        </w:tc>
        <w:tc>
          <w:tcPr>
            <w:tcW w:w="120" w:type="dxa"/>
            <w:vAlign w:val="bottom"/>
          </w:tcPr>
          <w:p>
            <w:pPr>
              <w:spacing w:after="0"/>
              <w:rPr>
                <w:sz w:val="19"/>
                <w:szCs w:val="19"/>
                <w:color w:val="auto"/>
              </w:rPr>
            </w:pPr>
          </w:p>
        </w:tc>
        <w:tc>
          <w:tcPr>
            <w:tcW w:w="260" w:type="dxa"/>
            <w:vAlign w:val="bottom"/>
            <w:tcBorders>
              <w:bottom w:val="single" w:sz="8" w:color="auto"/>
            </w:tcBorders>
          </w:tcPr>
          <w:p>
            <w:pPr>
              <w:jc w:val="right"/>
              <w:ind w:right="75"/>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82.6</w:t>
            </w:r>
          </w:p>
        </w:tc>
        <w:tc>
          <w:tcPr>
            <w:tcW w:w="120" w:type="dxa"/>
            <w:vAlign w:val="bottom"/>
          </w:tcPr>
          <w:p>
            <w:pPr>
              <w:spacing w:after="0"/>
              <w:rPr>
                <w:sz w:val="19"/>
                <w:szCs w:val="19"/>
                <w:color w:val="auto"/>
              </w:rPr>
            </w:pPr>
          </w:p>
        </w:tc>
        <w:tc>
          <w:tcPr>
            <w:tcW w:w="500" w:type="dxa"/>
            <w:vAlign w:val="bottom"/>
            <w:tcBorders>
              <w:bottom w:val="single" w:sz="8" w:color="auto"/>
            </w:tcBorders>
          </w:tcPr>
          <w:p>
            <w:pPr>
              <w:jc w:val="right"/>
              <w:ind w:right="295"/>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(262.2)</w:t>
            </w:r>
          </w:p>
        </w:tc>
        <w:tc>
          <w:tcPr>
            <w:tcW w:w="0" w:type="dxa"/>
            <w:vAlign w:val="bottom"/>
          </w:tcPr>
          <w:p>
            <w:pPr>
              <w:spacing w:after="0"/>
              <w:rPr>
                <w:sz w:val="1"/>
                <w:szCs w:val="1"/>
                <w:color w:val="auto"/>
              </w:rPr>
            </w:pPr>
          </w:p>
        </w:tc>
      </w:tr>
      <w:tr>
        <w:trPr>
          <w:trHeight w:val="20"/>
        </w:trPr>
        <w:tc>
          <w:tcPr>
            <w:tcW w:w="54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7</w:t>
      </w:r>
    </w:p>
    <w:p>
      <w:pPr>
        <w:sectPr>
          <w:pgSz w:w="11900" w:h="16838" w:orient="portrait"/>
          <w:cols w:equalWidth="0" w:num="1">
            <w:col w:w="11240"/>
          </w:cols>
          <w:pgMar w:left="320" w:top="1297" w:right="339" w:bottom="1440" w:gutter="0" w:footer="0" w:header="0"/>
        </w:sectPr>
      </w:pPr>
    </w:p>
    <w:bookmarkStart w:id="10" w:name="page11"/>
    <w:bookmarkEnd w:id="10"/>
    <w:p>
      <w:pPr>
        <w:jc w:val="center"/>
        <w:spacing w:after="0"/>
        <w:rPr>
          <w:sz w:val="20"/>
          <w:szCs w:val="20"/>
          <w:color w:val="auto"/>
        </w:rPr>
      </w:pPr>
      <w:r>
        <w:rPr>
          <w:rFonts w:ascii="Times New Roman" w:cs="Times New Roman" w:eastAsia="Times New Roman" w:hAnsi="Times New Roman"/>
          <w:sz w:val="17"/>
          <w:szCs w:val="17"/>
          <w:b w:val="1"/>
          <w:bCs w:val="1"/>
          <w:color w:val="auto"/>
        </w:rPr>
        <w:t>WORLD KINECT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(Unaudited - In millions)</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54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740" w:type="dxa"/>
            <w:vAlign w:val="bottom"/>
            <w:gridSpan w:val="5"/>
          </w:tcPr>
          <w:p>
            <w:pPr>
              <w:ind w:left="120"/>
              <w:spacing w:after="0"/>
              <w:rPr>
                <w:sz w:val="20"/>
                <w:szCs w:val="20"/>
                <w:color w:val="auto"/>
              </w:rPr>
            </w:pPr>
            <w:r>
              <w:rPr>
                <w:rFonts w:ascii="Times New Roman" w:cs="Times New Roman" w:eastAsia="Times New Roman" w:hAnsi="Times New Roman"/>
                <w:sz w:val="17"/>
                <w:szCs w:val="17"/>
                <w:b w:val="1"/>
                <w:bCs w:val="1"/>
                <w:color w:val="auto"/>
              </w:rPr>
              <w:t>For the Three Months Ended</w:t>
            </w:r>
          </w:p>
        </w:tc>
        <w:tc>
          <w:tcPr>
            <w:tcW w:w="260" w:type="dxa"/>
            <w:vAlign w:val="bottom"/>
          </w:tcPr>
          <w:p>
            <w:pPr>
              <w:spacing w:after="0"/>
              <w:rPr>
                <w:sz w:val="17"/>
                <w:szCs w:val="17"/>
                <w:color w:val="auto"/>
              </w:rPr>
            </w:pPr>
          </w:p>
        </w:tc>
        <w:tc>
          <w:tcPr>
            <w:tcW w:w="2580" w:type="dxa"/>
            <w:vAlign w:val="bottom"/>
            <w:gridSpan w:val="4"/>
          </w:tcPr>
          <w:p>
            <w:pPr>
              <w:jc w:val="right"/>
              <w:ind w:right="315"/>
              <w:spacing w:after="0"/>
              <w:rPr>
                <w:sz w:val="20"/>
                <w:szCs w:val="20"/>
                <w:color w:val="auto"/>
              </w:rPr>
            </w:pPr>
            <w:r>
              <w:rPr>
                <w:rFonts w:ascii="Times New Roman" w:cs="Times New Roman" w:eastAsia="Times New Roman" w:hAnsi="Times New Roman"/>
                <w:sz w:val="17"/>
                <w:szCs w:val="17"/>
                <w:b w:val="1"/>
                <w:bCs w:val="1"/>
                <w:color w:val="auto"/>
              </w:rPr>
              <w:t>For the Nine Months Ended</w:t>
            </w:r>
          </w:p>
        </w:tc>
      </w:tr>
      <w:tr>
        <w:trPr>
          <w:trHeight w:val="228"/>
        </w:trPr>
        <w:tc>
          <w:tcPr>
            <w:tcW w:w="544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7"/>
                <w:szCs w:val="17"/>
                <w:b w:val="1"/>
                <w:bCs w:val="1"/>
                <w:color w:val="auto"/>
              </w:rPr>
              <w:t>September 30,</w:t>
            </w:r>
          </w:p>
        </w:tc>
        <w:tc>
          <w:tcPr>
            <w:tcW w:w="88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7"/>
                <w:szCs w:val="17"/>
                <w:b w:val="1"/>
                <w:bCs w:val="1"/>
                <w:color w:val="auto"/>
              </w:rPr>
              <w:t>September 30,</w:t>
            </w:r>
          </w:p>
        </w:tc>
        <w:tc>
          <w:tcPr>
            <w:tcW w:w="860" w:type="dxa"/>
            <w:vAlign w:val="bottom"/>
            <w:tcBorders>
              <w:bottom w:val="single" w:sz="8" w:color="auto"/>
            </w:tcBorders>
          </w:tcPr>
          <w:p>
            <w:pPr>
              <w:spacing w:after="0"/>
              <w:rPr>
                <w:sz w:val="19"/>
                <w:szCs w:val="19"/>
                <w:color w:val="auto"/>
              </w:rPr>
            </w:pPr>
          </w:p>
        </w:tc>
      </w:tr>
      <w:tr>
        <w:trPr>
          <w:trHeight w:val="226"/>
        </w:trPr>
        <w:tc>
          <w:tcPr>
            <w:tcW w:w="544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415"/>
              <w:spacing w:after="0"/>
              <w:rPr>
                <w:sz w:val="20"/>
                <w:szCs w:val="20"/>
                <w:color w:val="auto"/>
              </w:rPr>
            </w:pPr>
            <w:r>
              <w:rPr>
                <w:rFonts w:ascii="Times New Roman" w:cs="Times New Roman" w:eastAsia="Times New Roman" w:hAnsi="Times New Roman"/>
                <w:sz w:val="17"/>
                <w:szCs w:val="17"/>
                <w:b w:val="1"/>
                <w:bCs w:val="1"/>
                <w:color w:val="auto"/>
              </w:rPr>
              <w:t>2026</w:t>
            </w:r>
          </w:p>
        </w:tc>
        <w:tc>
          <w:tcPr>
            <w:tcW w:w="14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435"/>
              <w:spacing w:after="0"/>
              <w:rPr>
                <w:sz w:val="20"/>
                <w:szCs w:val="20"/>
                <w:color w:val="auto"/>
              </w:rPr>
            </w:pPr>
            <w:r>
              <w:rPr>
                <w:rFonts w:ascii="Times New Roman" w:cs="Times New Roman" w:eastAsia="Times New Roman" w:hAnsi="Times New Roman"/>
                <w:sz w:val="17"/>
                <w:szCs w:val="17"/>
                <w:b w:val="1"/>
                <w:bCs w:val="1"/>
                <w:color w:val="auto"/>
                <w:w w:val="99"/>
              </w:rPr>
              <w:t>2025</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415"/>
              <w:spacing w:after="0"/>
              <w:rPr>
                <w:sz w:val="20"/>
                <w:szCs w:val="20"/>
                <w:color w:val="auto"/>
              </w:rPr>
            </w:pPr>
            <w:r>
              <w:rPr>
                <w:rFonts w:ascii="Times New Roman" w:cs="Times New Roman" w:eastAsia="Times New Roman" w:hAnsi="Times New Roman"/>
                <w:sz w:val="17"/>
                <w:szCs w:val="17"/>
                <w:b w:val="1"/>
                <w:bCs w:val="1"/>
                <w:color w:val="auto"/>
              </w:rPr>
              <w:t>2026</w:t>
            </w:r>
          </w:p>
        </w:tc>
        <w:tc>
          <w:tcPr>
            <w:tcW w:w="12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415"/>
              <w:spacing w:after="0"/>
              <w:rPr>
                <w:sz w:val="20"/>
                <w:szCs w:val="20"/>
                <w:color w:val="auto"/>
              </w:rPr>
            </w:pPr>
            <w:r>
              <w:rPr>
                <w:rFonts w:ascii="Times New Roman" w:cs="Times New Roman" w:eastAsia="Times New Roman" w:hAnsi="Times New Roman"/>
                <w:sz w:val="17"/>
                <w:szCs w:val="17"/>
                <w:b w:val="1"/>
                <w:bCs w:val="1"/>
                <w:color w:val="auto"/>
                <w:w w:val="99"/>
              </w:rPr>
              <w:t>2025</w:t>
            </w:r>
          </w:p>
        </w:tc>
      </w:tr>
      <w:tr>
        <w:trPr>
          <w:trHeight w:val="210"/>
        </w:trPr>
        <w:tc>
          <w:tcPr>
            <w:tcW w:w="5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Cash flows from operating activities:</w:t>
            </w: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r>
      <w:tr>
        <w:trPr>
          <w:trHeight w:val="230"/>
        </w:trPr>
        <w:tc>
          <w:tcPr>
            <w:tcW w:w="544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Net income (loss) including noncontrolling interest</w:t>
            </w:r>
          </w:p>
        </w:tc>
        <w:tc>
          <w:tcPr>
            <w:tcW w:w="22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37.9</w:t>
            </w:r>
          </w:p>
        </w:tc>
        <w:tc>
          <w:tcPr>
            <w:tcW w:w="140" w:type="dxa"/>
            <w:vAlign w:val="bottom"/>
          </w:tcPr>
          <w:p>
            <w:pPr>
              <w:spacing w:after="0"/>
              <w:rPr>
                <w:sz w:val="20"/>
                <w:szCs w:val="20"/>
                <w:color w:val="auto"/>
              </w:rPr>
            </w:pPr>
          </w:p>
        </w:tc>
        <w:tc>
          <w:tcPr>
            <w:tcW w:w="480" w:type="dxa"/>
            <w:vAlign w:val="bottom"/>
          </w:tcPr>
          <w:p>
            <w:pPr>
              <w:jc w:val="right"/>
              <w:ind w:right="295"/>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28.1</w:t>
            </w:r>
          </w:p>
        </w:tc>
        <w:tc>
          <w:tcPr>
            <w:tcW w:w="120" w:type="dxa"/>
            <w:vAlign w:val="bottom"/>
          </w:tcPr>
          <w:p>
            <w:pPr>
              <w:spacing w:after="0"/>
              <w:rPr>
                <w:sz w:val="20"/>
                <w:szCs w:val="20"/>
                <w:color w:val="auto"/>
              </w:rPr>
            </w:pPr>
          </w:p>
        </w:tc>
        <w:tc>
          <w:tcPr>
            <w:tcW w:w="260" w:type="dxa"/>
            <w:vAlign w:val="bottom"/>
          </w:tcPr>
          <w:p>
            <w:pPr>
              <w:jc w:val="right"/>
              <w:ind w:right="75"/>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113.2</w:t>
            </w:r>
          </w:p>
        </w:tc>
        <w:tc>
          <w:tcPr>
            <w:tcW w:w="120" w:type="dxa"/>
            <w:vAlign w:val="bottom"/>
          </w:tcPr>
          <w:p>
            <w:pPr>
              <w:spacing w:after="0"/>
              <w:rPr>
                <w:sz w:val="20"/>
                <w:szCs w:val="20"/>
                <w:color w:val="auto"/>
              </w:rPr>
            </w:pPr>
          </w:p>
        </w:tc>
        <w:tc>
          <w:tcPr>
            <w:tcW w:w="500" w:type="dxa"/>
            <w:vAlign w:val="bottom"/>
          </w:tcPr>
          <w:p>
            <w:pPr>
              <w:jc w:val="right"/>
              <w:ind w:right="295"/>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(332.2)</w:t>
            </w:r>
          </w:p>
        </w:tc>
      </w:tr>
      <w:tr>
        <w:trPr>
          <w:trHeight w:val="179"/>
        </w:trPr>
        <w:tc>
          <w:tcPr>
            <w:tcW w:w="5440" w:type="dxa"/>
            <w:vAlign w:val="bottom"/>
            <w:shd w:val="clear" w:color="auto" w:fill="CCEEFF"/>
          </w:tcPr>
          <w:p>
            <w:pPr>
              <w:ind w:left="140"/>
              <w:spacing w:after="0" w:line="180" w:lineRule="exact"/>
              <w:rPr>
                <w:sz w:val="20"/>
                <w:szCs w:val="20"/>
                <w:color w:val="auto"/>
              </w:rPr>
            </w:pPr>
            <w:r>
              <w:rPr>
                <w:rFonts w:ascii="Times New Roman" w:cs="Times New Roman" w:eastAsia="Times New Roman" w:hAnsi="Times New Roman"/>
                <w:sz w:val="17"/>
                <w:szCs w:val="17"/>
                <w:color w:val="auto"/>
              </w:rPr>
              <w:t>Adjustments to reconcile net income including noncontrolling interest to</w:t>
            </w:r>
          </w:p>
        </w:tc>
        <w:tc>
          <w:tcPr>
            <w:tcW w:w="22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r>
      <w:tr>
        <w:trPr>
          <w:trHeight w:val="230"/>
        </w:trPr>
        <w:tc>
          <w:tcPr>
            <w:tcW w:w="54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net cash provided by operating activities:</w:t>
            </w:r>
          </w:p>
        </w:tc>
        <w:tc>
          <w:tcPr>
            <w:tcW w:w="22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r>
      <w:tr>
        <w:trPr>
          <w:trHeight w:val="230"/>
        </w:trPr>
        <w:tc>
          <w:tcPr>
            <w:tcW w:w="544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Unrealized (gain) loss on derivatives</w:t>
            </w:r>
          </w:p>
        </w:tc>
        <w:tc>
          <w:tcPr>
            <w:tcW w:w="2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(9.7)</w:t>
            </w:r>
          </w:p>
        </w:tc>
        <w:tc>
          <w:tcPr>
            <w:tcW w:w="1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11.3</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15.4</w:t>
            </w:r>
          </w:p>
        </w:tc>
        <w:tc>
          <w:tcPr>
            <w:tcW w:w="1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24.9</w:t>
            </w:r>
          </w:p>
        </w:tc>
      </w:tr>
      <w:tr>
        <w:trPr>
          <w:trHeight w:val="230"/>
        </w:trPr>
        <w:tc>
          <w:tcPr>
            <w:tcW w:w="54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(Gain) loss on sale of business</w:t>
            </w:r>
          </w:p>
        </w:tc>
        <w:tc>
          <w:tcPr>
            <w:tcW w:w="220" w:type="dxa"/>
            <w:vAlign w:val="bottom"/>
            <w:shd w:val="clear" w:color="auto" w:fill="CCEEFF"/>
          </w:tcPr>
          <w:p>
            <w:pPr>
              <w:spacing w:after="0"/>
              <w:rPr>
                <w:sz w:val="20"/>
                <w:szCs w:val="20"/>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(4.6)</w:t>
            </w:r>
          </w:p>
        </w:tc>
        <w:tc>
          <w:tcPr>
            <w:tcW w:w="14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(5.8)</w:t>
            </w:r>
          </w:p>
        </w:tc>
        <w:tc>
          <w:tcPr>
            <w:tcW w:w="12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81.7</w:t>
            </w:r>
          </w:p>
        </w:tc>
      </w:tr>
      <w:tr>
        <w:trPr>
          <w:trHeight w:val="230"/>
        </w:trPr>
        <w:tc>
          <w:tcPr>
            <w:tcW w:w="544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Depreciation and amortization</w:t>
            </w:r>
          </w:p>
        </w:tc>
        <w:tc>
          <w:tcPr>
            <w:tcW w:w="2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21.8</w:t>
            </w:r>
          </w:p>
        </w:tc>
        <w:tc>
          <w:tcPr>
            <w:tcW w:w="1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23.5</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62.0</w:t>
            </w:r>
          </w:p>
        </w:tc>
        <w:tc>
          <w:tcPr>
            <w:tcW w:w="1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73.0</w:t>
            </w:r>
          </w:p>
        </w:tc>
      </w:tr>
      <w:tr>
        <w:trPr>
          <w:trHeight w:val="230"/>
        </w:trPr>
        <w:tc>
          <w:tcPr>
            <w:tcW w:w="54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Noncash operating lease expense</w:t>
            </w:r>
          </w:p>
        </w:tc>
        <w:tc>
          <w:tcPr>
            <w:tcW w:w="220" w:type="dxa"/>
            <w:vAlign w:val="bottom"/>
            <w:shd w:val="clear" w:color="auto" w:fill="CCEEFF"/>
          </w:tcPr>
          <w:p>
            <w:pPr>
              <w:spacing w:after="0"/>
              <w:rPr>
                <w:sz w:val="20"/>
                <w:szCs w:val="20"/>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15.8</w:t>
            </w:r>
          </w:p>
        </w:tc>
        <w:tc>
          <w:tcPr>
            <w:tcW w:w="14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8.2</w:t>
            </w:r>
          </w:p>
        </w:tc>
        <w:tc>
          <w:tcPr>
            <w:tcW w:w="1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33.3</w:t>
            </w:r>
          </w:p>
        </w:tc>
        <w:tc>
          <w:tcPr>
            <w:tcW w:w="12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27.1</w:t>
            </w:r>
          </w:p>
        </w:tc>
      </w:tr>
      <w:tr>
        <w:trPr>
          <w:trHeight w:val="230"/>
        </w:trPr>
        <w:tc>
          <w:tcPr>
            <w:tcW w:w="544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Provision for credit losses</w:t>
            </w:r>
          </w:p>
        </w:tc>
        <w:tc>
          <w:tcPr>
            <w:tcW w:w="2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25.7</w:t>
            </w:r>
          </w:p>
        </w:tc>
        <w:tc>
          <w:tcPr>
            <w:tcW w:w="1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61.1</w:t>
            </w:r>
          </w:p>
        </w:tc>
        <w:tc>
          <w:tcPr>
            <w:tcW w:w="1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5.7</w:t>
            </w:r>
          </w:p>
        </w:tc>
      </w:tr>
      <w:tr>
        <w:trPr>
          <w:trHeight w:val="230"/>
        </w:trPr>
        <w:tc>
          <w:tcPr>
            <w:tcW w:w="54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Share-based payment award compensation costs</w:t>
            </w:r>
          </w:p>
        </w:tc>
        <w:tc>
          <w:tcPr>
            <w:tcW w:w="220" w:type="dxa"/>
            <w:vAlign w:val="bottom"/>
            <w:shd w:val="clear" w:color="auto" w:fill="CCEEFF"/>
          </w:tcPr>
          <w:p>
            <w:pPr>
              <w:spacing w:after="0"/>
              <w:rPr>
                <w:sz w:val="20"/>
                <w:szCs w:val="20"/>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9.8</w:t>
            </w:r>
          </w:p>
        </w:tc>
        <w:tc>
          <w:tcPr>
            <w:tcW w:w="14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4.5</w:t>
            </w:r>
          </w:p>
        </w:tc>
        <w:tc>
          <w:tcPr>
            <w:tcW w:w="1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24.4</w:t>
            </w:r>
          </w:p>
        </w:tc>
        <w:tc>
          <w:tcPr>
            <w:tcW w:w="12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13.8</w:t>
            </w:r>
          </w:p>
        </w:tc>
      </w:tr>
      <w:tr>
        <w:trPr>
          <w:trHeight w:val="230"/>
        </w:trPr>
        <w:tc>
          <w:tcPr>
            <w:tcW w:w="544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Deferred income tax expense (benefit)</w:t>
            </w:r>
          </w:p>
        </w:tc>
        <w:tc>
          <w:tcPr>
            <w:tcW w:w="2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w:t>
            </w:r>
          </w:p>
        </w:tc>
        <w:tc>
          <w:tcPr>
            <w:tcW w:w="1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26.6</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16.0</w:t>
            </w:r>
          </w:p>
        </w:tc>
        <w:tc>
          <w:tcPr>
            <w:tcW w:w="1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(113.3)</w:t>
            </w:r>
          </w:p>
        </w:tc>
      </w:tr>
      <w:tr>
        <w:trPr>
          <w:trHeight w:val="230"/>
        </w:trPr>
        <w:tc>
          <w:tcPr>
            <w:tcW w:w="54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Unrealized foreign currency (gains) losses, net</w:t>
            </w:r>
          </w:p>
        </w:tc>
        <w:tc>
          <w:tcPr>
            <w:tcW w:w="220" w:type="dxa"/>
            <w:vAlign w:val="bottom"/>
            <w:shd w:val="clear" w:color="auto" w:fill="CCEEFF"/>
          </w:tcPr>
          <w:p>
            <w:pPr>
              <w:spacing w:after="0"/>
              <w:rPr>
                <w:sz w:val="20"/>
                <w:szCs w:val="20"/>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w:t>
            </w:r>
          </w:p>
        </w:tc>
        <w:tc>
          <w:tcPr>
            <w:tcW w:w="14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14.6</w:t>
            </w:r>
          </w:p>
        </w:tc>
        <w:tc>
          <w:tcPr>
            <w:tcW w:w="1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w:t>
            </w:r>
          </w:p>
        </w:tc>
        <w:tc>
          <w:tcPr>
            <w:tcW w:w="12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17.0</w:t>
            </w:r>
          </w:p>
        </w:tc>
      </w:tr>
      <w:tr>
        <w:trPr>
          <w:trHeight w:val="230"/>
        </w:trPr>
        <w:tc>
          <w:tcPr>
            <w:tcW w:w="544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Goodwill and other asset impairment charges</w:t>
            </w:r>
          </w:p>
        </w:tc>
        <w:tc>
          <w:tcPr>
            <w:tcW w:w="2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0.9</w:t>
            </w:r>
          </w:p>
        </w:tc>
        <w:tc>
          <w:tcPr>
            <w:tcW w:w="1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0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w:t>
            </w:r>
          </w:p>
        </w:tc>
        <w:tc>
          <w:tcPr>
            <w:tcW w:w="1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443.1</w:t>
            </w:r>
          </w:p>
        </w:tc>
      </w:tr>
      <w:tr>
        <w:trPr>
          <w:trHeight w:val="230"/>
        </w:trPr>
        <w:tc>
          <w:tcPr>
            <w:tcW w:w="54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Other</w:t>
            </w:r>
          </w:p>
        </w:tc>
        <w:tc>
          <w:tcPr>
            <w:tcW w:w="220" w:type="dxa"/>
            <w:vAlign w:val="bottom"/>
            <w:shd w:val="clear" w:color="auto" w:fill="CCEEFF"/>
          </w:tcPr>
          <w:p>
            <w:pPr>
              <w:spacing w:after="0"/>
              <w:rPr>
                <w:sz w:val="20"/>
                <w:szCs w:val="20"/>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w:t>
            </w:r>
          </w:p>
        </w:tc>
        <w:tc>
          <w:tcPr>
            <w:tcW w:w="14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4.3</w:t>
            </w:r>
          </w:p>
        </w:tc>
        <w:tc>
          <w:tcPr>
            <w:tcW w:w="1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w:t>
            </w:r>
          </w:p>
        </w:tc>
        <w:tc>
          <w:tcPr>
            <w:tcW w:w="12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16.7</w:t>
            </w:r>
          </w:p>
        </w:tc>
      </w:tr>
      <w:tr>
        <w:trPr>
          <w:trHeight w:val="230"/>
        </w:trPr>
        <w:tc>
          <w:tcPr>
            <w:tcW w:w="544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Changes in assets and liabilities, net of acquisitions and divestitures:</w:t>
            </w:r>
          </w:p>
        </w:tc>
        <w:tc>
          <w:tcPr>
            <w:tcW w:w="2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60" w:type="dxa"/>
            <w:vAlign w:val="bottom"/>
          </w:tcPr>
          <w:p>
            <w:pPr>
              <w:spacing w:after="0"/>
              <w:rPr>
                <w:sz w:val="20"/>
                <w:szCs w:val="20"/>
                <w:color w:val="auto"/>
              </w:rPr>
            </w:pPr>
          </w:p>
        </w:tc>
      </w:tr>
      <w:tr>
        <w:trPr>
          <w:trHeight w:val="230"/>
        </w:trPr>
        <w:tc>
          <w:tcPr>
            <w:tcW w:w="54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Accounts receivable, net</w:t>
            </w:r>
          </w:p>
        </w:tc>
        <w:tc>
          <w:tcPr>
            <w:tcW w:w="220" w:type="dxa"/>
            <w:vAlign w:val="bottom"/>
            <w:shd w:val="clear" w:color="auto" w:fill="CCEEFF"/>
          </w:tcPr>
          <w:p>
            <w:pPr>
              <w:spacing w:after="0"/>
              <w:rPr>
                <w:sz w:val="20"/>
                <w:szCs w:val="20"/>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(243.2)</w:t>
            </w:r>
          </w:p>
        </w:tc>
        <w:tc>
          <w:tcPr>
            <w:tcW w:w="14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50.6</w:t>
            </w:r>
          </w:p>
        </w:tc>
        <w:tc>
          <w:tcPr>
            <w:tcW w:w="1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(993.9)</w:t>
            </w:r>
          </w:p>
        </w:tc>
        <w:tc>
          <w:tcPr>
            <w:tcW w:w="12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219.2</w:t>
            </w:r>
          </w:p>
        </w:tc>
      </w:tr>
      <w:tr>
        <w:trPr>
          <w:trHeight w:val="230"/>
        </w:trPr>
        <w:tc>
          <w:tcPr>
            <w:tcW w:w="544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Inventories</w:t>
            </w:r>
          </w:p>
        </w:tc>
        <w:tc>
          <w:tcPr>
            <w:tcW w:w="2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(163.6)</w:t>
            </w:r>
          </w:p>
        </w:tc>
        <w:tc>
          <w:tcPr>
            <w:tcW w:w="1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(26.9)</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(287.3)</w:t>
            </w:r>
          </w:p>
        </w:tc>
        <w:tc>
          <w:tcPr>
            <w:tcW w:w="1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(7.0)</w:t>
            </w:r>
          </w:p>
        </w:tc>
      </w:tr>
      <w:tr>
        <w:trPr>
          <w:trHeight w:val="230"/>
        </w:trPr>
        <w:tc>
          <w:tcPr>
            <w:tcW w:w="54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Prepaid expenses</w:t>
            </w:r>
          </w:p>
        </w:tc>
        <w:tc>
          <w:tcPr>
            <w:tcW w:w="220" w:type="dxa"/>
            <w:vAlign w:val="bottom"/>
            <w:shd w:val="clear" w:color="auto" w:fill="CCEEFF"/>
          </w:tcPr>
          <w:p>
            <w:pPr>
              <w:spacing w:after="0"/>
              <w:rPr>
                <w:sz w:val="20"/>
                <w:szCs w:val="20"/>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(9.8)</w:t>
            </w:r>
          </w:p>
        </w:tc>
        <w:tc>
          <w:tcPr>
            <w:tcW w:w="14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(4.2)</w:t>
            </w:r>
          </w:p>
        </w:tc>
        <w:tc>
          <w:tcPr>
            <w:tcW w:w="1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(0.4)</w:t>
            </w:r>
          </w:p>
        </w:tc>
        <w:tc>
          <w:tcPr>
            <w:tcW w:w="12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(11.8)</w:t>
            </w:r>
          </w:p>
        </w:tc>
      </w:tr>
      <w:tr>
        <w:trPr>
          <w:trHeight w:val="230"/>
        </w:trPr>
        <w:tc>
          <w:tcPr>
            <w:tcW w:w="544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Other current assets</w:t>
            </w:r>
          </w:p>
        </w:tc>
        <w:tc>
          <w:tcPr>
            <w:tcW w:w="2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4.0</w:t>
            </w:r>
          </w:p>
        </w:tc>
        <w:tc>
          <w:tcPr>
            <w:tcW w:w="1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(64.5)</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(38.2)</w:t>
            </w:r>
          </w:p>
        </w:tc>
        <w:tc>
          <w:tcPr>
            <w:tcW w:w="1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(48.9)</w:t>
            </w:r>
          </w:p>
        </w:tc>
      </w:tr>
      <w:tr>
        <w:trPr>
          <w:trHeight w:val="230"/>
        </w:trPr>
        <w:tc>
          <w:tcPr>
            <w:tcW w:w="54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Cash collateral with counterparties</w:t>
            </w:r>
          </w:p>
        </w:tc>
        <w:tc>
          <w:tcPr>
            <w:tcW w:w="220" w:type="dxa"/>
            <w:vAlign w:val="bottom"/>
            <w:shd w:val="clear" w:color="auto" w:fill="CCEEFF"/>
          </w:tcPr>
          <w:p>
            <w:pPr>
              <w:spacing w:after="0"/>
              <w:rPr>
                <w:sz w:val="20"/>
                <w:szCs w:val="20"/>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38.3</w:t>
            </w:r>
          </w:p>
        </w:tc>
        <w:tc>
          <w:tcPr>
            <w:tcW w:w="14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12.6</w:t>
            </w:r>
          </w:p>
        </w:tc>
        <w:tc>
          <w:tcPr>
            <w:tcW w:w="1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32.5</w:t>
            </w:r>
          </w:p>
        </w:tc>
        <w:tc>
          <w:tcPr>
            <w:tcW w:w="12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27.6</w:t>
            </w:r>
          </w:p>
        </w:tc>
      </w:tr>
      <w:tr>
        <w:trPr>
          <w:trHeight w:val="230"/>
        </w:trPr>
        <w:tc>
          <w:tcPr>
            <w:tcW w:w="544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Other non-current assets</w:t>
            </w:r>
          </w:p>
        </w:tc>
        <w:tc>
          <w:tcPr>
            <w:tcW w:w="2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(28.4)</w:t>
            </w:r>
          </w:p>
        </w:tc>
        <w:tc>
          <w:tcPr>
            <w:tcW w:w="1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0.6</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(104.8)</w:t>
            </w:r>
          </w:p>
        </w:tc>
        <w:tc>
          <w:tcPr>
            <w:tcW w:w="1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(55.5)</w:t>
            </w:r>
          </w:p>
        </w:tc>
      </w:tr>
      <w:tr>
        <w:trPr>
          <w:trHeight w:val="230"/>
        </w:trPr>
        <w:tc>
          <w:tcPr>
            <w:tcW w:w="54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Change in derivative assets and liabilities, net</w:t>
            </w:r>
          </w:p>
        </w:tc>
        <w:tc>
          <w:tcPr>
            <w:tcW w:w="220" w:type="dxa"/>
            <w:vAlign w:val="bottom"/>
            <w:shd w:val="clear" w:color="auto" w:fill="CCEEFF"/>
          </w:tcPr>
          <w:p>
            <w:pPr>
              <w:spacing w:after="0"/>
              <w:rPr>
                <w:sz w:val="20"/>
                <w:szCs w:val="20"/>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(24.4)</w:t>
            </w:r>
          </w:p>
        </w:tc>
        <w:tc>
          <w:tcPr>
            <w:tcW w:w="14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4.2</w:t>
            </w:r>
          </w:p>
        </w:tc>
        <w:tc>
          <w:tcPr>
            <w:tcW w:w="1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(32.6)</w:t>
            </w:r>
          </w:p>
        </w:tc>
        <w:tc>
          <w:tcPr>
            <w:tcW w:w="12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6.2</w:t>
            </w:r>
          </w:p>
        </w:tc>
      </w:tr>
      <w:tr>
        <w:trPr>
          <w:trHeight w:val="230"/>
        </w:trPr>
        <w:tc>
          <w:tcPr>
            <w:tcW w:w="544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Accounts payable</w:t>
            </w:r>
          </w:p>
        </w:tc>
        <w:tc>
          <w:tcPr>
            <w:tcW w:w="2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511.1</w:t>
            </w:r>
          </w:p>
        </w:tc>
        <w:tc>
          <w:tcPr>
            <w:tcW w:w="1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(0.2)</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1,159.0</w:t>
            </w:r>
          </w:p>
        </w:tc>
        <w:tc>
          <w:tcPr>
            <w:tcW w:w="1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(90.2)</w:t>
            </w:r>
          </w:p>
        </w:tc>
      </w:tr>
      <w:tr>
        <w:trPr>
          <w:trHeight w:val="230"/>
        </w:trPr>
        <w:tc>
          <w:tcPr>
            <w:tcW w:w="54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Accrued expenses and other current liabilities</w:t>
            </w:r>
          </w:p>
        </w:tc>
        <w:tc>
          <w:tcPr>
            <w:tcW w:w="220" w:type="dxa"/>
            <w:vAlign w:val="bottom"/>
            <w:shd w:val="clear" w:color="auto" w:fill="CCEEFF"/>
          </w:tcPr>
          <w:p>
            <w:pPr>
              <w:spacing w:after="0"/>
              <w:rPr>
                <w:sz w:val="20"/>
                <w:szCs w:val="20"/>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5.3</w:t>
            </w:r>
          </w:p>
        </w:tc>
        <w:tc>
          <w:tcPr>
            <w:tcW w:w="14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35.0</w:t>
            </w:r>
          </w:p>
        </w:tc>
        <w:tc>
          <w:tcPr>
            <w:tcW w:w="1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10.9</w:t>
            </w:r>
          </w:p>
        </w:tc>
        <w:tc>
          <w:tcPr>
            <w:tcW w:w="12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(38.3)</w:t>
            </w:r>
          </w:p>
        </w:tc>
      </w:tr>
      <w:tr>
        <w:trPr>
          <w:trHeight w:val="230"/>
        </w:trPr>
        <w:tc>
          <w:tcPr>
            <w:tcW w:w="5440" w:type="dxa"/>
            <w:vAlign w:val="bottom"/>
            <w:tcBorders>
              <w:bottom w:val="single" w:sz="8" w:color="CCEEFF"/>
            </w:tcBorders>
          </w:tcPr>
          <w:p>
            <w:pPr>
              <w:ind w:left="320"/>
              <w:spacing w:after="0"/>
              <w:rPr>
                <w:sz w:val="20"/>
                <w:szCs w:val="20"/>
                <w:color w:val="auto"/>
              </w:rPr>
            </w:pPr>
            <w:r>
              <w:rPr>
                <w:rFonts w:ascii="Times New Roman" w:cs="Times New Roman" w:eastAsia="Times New Roman" w:hAnsi="Times New Roman"/>
                <w:sz w:val="17"/>
                <w:szCs w:val="17"/>
                <w:color w:val="auto"/>
              </w:rPr>
              <w:t>Other long-term liabilities</w:t>
            </w:r>
          </w:p>
        </w:tc>
        <w:tc>
          <w:tcPr>
            <w:tcW w:w="2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(4.7)</w:t>
            </w:r>
          </w:p>
        </w:tc>
        <w:tc>
          <w:tcPr>
            <w:tcW w:w="140" w:type="dxa"/>
            <w:vAlign w:val="bottom"/>
            <w:tcBorders>
              <w:bottom w:val="single" w:sz="8" w:color="CCEEFF"/>
            </w:tcBorders>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(13.9)</w:t>
            </w:r>
          </w:p>
        </w:tc>
        <w:tc>
          <w:tcPr>
            <w:tcW w:w="12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39.6</w:t>
            </w:r>
          </w:p>
        </w:tc>
        <w:tc>
          <w:tcPr>
            <w:tcW w:w="120" w:type="dxa"/>
            <w:vAlign w:val="bottom"/>
            <w:tcBorders>
              <w:bottom w:val="single" w:sz="8" w:color="CCEEFF"/>
            </w:tcBorders>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(0.1)</w:t>
            </w:r>
          </w:p>
        </w:tc>
      </w:tr>
      <w:tr>
        <w:trPr>
          <w:trHeight w:val="223"/>
        </w:trPr>
        <w:tc>
          <w:tcPr>
            <w:tcW w:w="54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7"/>
                <w:szCs w:val="17"/>
                <w:b w:val="1"/>
                <w:bCs w:val="1"/>
                <w:color w:val="auto"/>
              </w:rPr>
              <w:t>Net cash provided by (used in) operating activities</w:t>
            </w:r>
          </w:p>
        </w:tc>
        <w:tc>
          <w:tcPr>
            <w:tcW w:w="2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175.1</w:t>
            </w:r>
          </w:p>
        </w:tc>
        <w:tc>
          <w:tcPr>
            <w:tcW w:w="14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116.1</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107.5</w:t>
            </w:r>
          </w:p>
        </w:tc>
        <w:tc>
          <w:tcPr>
            <w:tcW w:w="12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258.7</w:t>
            </w:r>
          </w:p>
        </w:tc>
      </w:tr>
      <w:tr>
        <w:trPr>
          <w:trHeight w:val="210"/>
        </w:trPr>
        <w:tc>
          <w:tcPr>
            <w:tcW w:w="544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Cash flows from investing activities:</w:t>
            </w: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30"/>
        </w:trPr>
        <w:tc>
          <w:tcPr>
            <w:tcW w:w="54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Proceeds from sale of business, net of divested cash</w:t>
            </w:r>
          </w:p>
        </w:tc>
        <w:tc>
          <w:tcPr>
            <w:tcW w:w="220" w:type="dxa"/>
            <w:vAlign w:val="bottom"/>
            <w:shd w:val="clear" w:color="auto" w:fill="CCEEFF"/>
          </w:tcPr>
          <w:p>
            <w:pPr>
              <w:spacing w:after="0"/>
              <w:rPr>
                <w:sz w:val="20"/>
                <w:szCs w:val="20"/>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8.7</w:t>
            </w:r>
          </w:p>
        </w:tc>
        <w:tc>
          <w:tcPr>
            <w:tcW w:w="14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93.2</w:t>
            </w:r>
          </w:p>
        </w:tc>
        <w:tc>
          <w:tcPr>
            <w:tcW w:w="12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23.4</w:t>
            </w:r>
          </w:p>
        </w:tc>
      </w:tr>
      <w:tr>
        <w:trPr>
          <w:trHeight w:val="230"/>
        </w:trPr>
        <w:tc>
          <w:tcPr>
            <w:tcW w:w="544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Capital expenditures</w:t>
            </w:r>
          </w:p>
        </w:tc>
        <w:tc>
          <w:tcPr>
            <w:tcW w:w="2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(10.8)</w:t>
            </w:r>
          </w:p>
        </w:tc>
        <w:tc>
          <w:tcPr>
            <w:tcW w:w="1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(14.1)</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(38.4)</w:t>
            </w:r>
          </w:p>
        </w:tc>
        <w:tc>
          <w:tcPr>
            <w:tcW w:w="1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(44.2)</w:t>
            </w:r>
          </w:p>
        </w:tc>
      </w:tr>
      <w:tr>
        <w:trPr>
          <w:trHeight w:val="230"/>
        </w:trPr>
        <w:tc>
          <w:tcPr>
            <w:tcW w:w="54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Other investing activities, net</w:t>
            </w:r>
          </w:p>
        </w:tc>
        <w:tc>
          <w:tcPr>
            <w:tcW w:w="220" w:type="dxa"/>
            <w:vAlign w:val="bottom"/>
            <w:tcBorders>
              <w:bottom w:val="single" w:sz="8" w:color="auto"/>
            </w:tcBorders>
            <w:shd w:val="clear" w:color="auto" w:fill="CCEEFF"/>
          </w:tcPr>
          <w:p>
            <w:pPr>
              <w:spacing w:after="0"/>
              <w:rPr>
                <w:sz w:val="20"/>
                <w:szCs w:val="20"/>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(15.2)</w:t>
            </w:r>
          </w:p>
        </w:tc>
        <w:tc>
          <w:tcPr>
            <w:tcW w:w="140" w:type="dxa"/>
            <w:vAlign w:val="bottom"/>
            <w:shd w:val="clear" w:color="auto" w:fill="CCEEFF"/>
          </w:tcPr>
          <w:p>
            <w:pPr>
              <w:spacing w:after="0"/>
              <w:rPr>
                <w:sz w:val="20"/>
                <w:szCs w:val="20"/>
                <w:color w:val="auto"/>
              </w:rPr>
            </w:pPr>
          </w:p>
        </w:tc>
        <w:tc>
          <w:tcPr>
            <w:tcW w:w="480" w:type="dxa"/>
            <w:vAlign w:val="bottom"/>
            <w:tcBorders>
              <w:bottom w:val="single" w:sz="8" w:color="auto"/>
            </w:tcBorders>
            <w:shd w:val="clear" w:color="auto" w:fill="CCEEFF"/>
          </w:tcPr>
          <w:p>
            <w:pPr>
              <w:spacing w:after="0"/>
              <w:rPr>
                <w:sz w:val="20"/>
                <w:szCs w:val="20"/>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14.1</w:t>
            </w:r>
          </w:p>
        </w:tc>
        <w:tc>
          <w:tcPr>
            <w:tcW w:w="120" w:type="dxa"/>
            <w:vAlign w:val="bottom"/>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spacing w:after="0"/>
              <w:rPr>
                <w:sz w:val="20"/>
                <w:szCs w:val="20"/>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(7.4)</w:t>
            </w:r>
          </w:p>
        </w:tc>
        <w:tc>
          <w:tcPr>
            <w:tcW w:w="120" w:type="dxa"/>
            <w:vAlign w:val="bottom"/>
            <w:shd w:val="clear" w:color="auto" w:fill="CCEEFF"/>
          </w:tcPr>
          <w:p>
            <w:pPr>
              <w:spacing w:after="0"/>
              <w:rPr>
                <w:sz w:val="20"/>
                <w:szCs w:val="20"/>
                <w:color w:val="auto"/>
              </w:rPr>
            </w:pPr>
          </w:p>
        </w:tc>
        <w:tc>
          <w:tcPr>
            <w:tcW w:w="500" w:type="dxa"/>
            <w:vAlign w:val="bottom"/>
            <w:tcBorders>
              <w:bottom w:val="single" w:sz="8" w:color="auto"/>
            </w:tcBorders>
            <w:shd w:val="clear" w:color="auto" w:fill="CCEEFF"/>
          </w:tcPr>
          <w:p>
            <w:pPr>
              <w:spacing w:after="0"/>
              <w:rPr>
                <w:sz w:val="20"/>
                <w:szCs w:val="20"/>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16.0</w:t>
            </w:r>
          </w:p>
        </w:tc>
      </w:tr>
      <w:tr>
        <w:trPr>
          <w:trHeight w:val="223"/>
        </w:trPr>
        <w:tc>
          <w:tcPr>
            <w:tcW w:w="5440" w:type="dxa"/>
            <w:vAlign w:val="bottom"/>
          </w:tcPr>
          <w:p>
            <w:pPr>
              <w:ind w:left="40"/>
              <w:spacing w:after="0"/>
              <w:rPr>
                <w:sz w:val="20"/>
                <w:szCs w:val="20"/>
                <w:color w:val="auto"/>
              </w:rPr>
            </w:pPr>
            <w:r>
              <w:rPr>
                <w:rFonts w:ascii="Times New Roman" w:cs="Times New Roman" w:eastAsia="Times New Roman" w:hAnsi="Times New Roman"/>
                <w:sz w:val="17"/>
                <w:szCs w:val="17"/>
                <w:b w:val="1"/>
                <w:bCs w:val="1"/>
                <w:color w:val="auto"/>
              </w:rPr>
              <w:t>Net cash provided by (used in) investing activities</w:t>
            </w:r>
          </w:p>
        </w:tc>
        <w:tc>
          <w:tcPr>
            <w:tcW w:w="2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(17.3)</w:t>
            </w:r>
          </w:p>
        </w:tc>
        <w:tc>
          <w:tcPr>
            <w:tcW w:w="1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47.4</w:t>
            </w: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(4.8)</w:t>
            </w:r>
          </w:p>
        </w:tc>
      </w:tr>
      <w:tr>
        <w:trPr>
          <w:trHeight w:val="210"/>
        </w:trPr>
        <w:tc>
          <w:tcPr>
            <w:tcW w:w="54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Cash flows from financing activities:</w:t>
            </w:r>
          </w:p>
        </w:tc>
        <w:tc>
          <w:tcPr>
            <w:tcW w:w="22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r>
      <w:tr>
        <w:trPr>
          <w:trHeight w:val="230"/>
        </w:trPr>
        <w:tc>
          <w:tcPr>
            <w:tcW w:w="544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Borrowings of debt</w:t>
            </w:r>
          </w:p>
        </w:tc>
        <w:tc>
          <w:tcPr>
            <w:tcW w:w="2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1,180.0</w:t>
            </w:r>
          </w:p>
        </w:tc>
        <w:tc>
          <w:tcPr>
            <w:tcW w:w="1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577.0</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4,200.0</w:t>
            </w:r>
          </w:p>
        </w:tc>
        <w:tc>
          <w:tcPr>
            <w:tcW w:w="1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2,201.0</w:t>
            </w:r>
          </w:p>
        </w:tc>
      </w:tr>
      <w:tr>
        <w:trPr>
          <w:trHeight w:val="230"/>
        </w:trPr>
        <w:tc>
          <w:tcPr>
            <w:tcW w:w="54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Repayments of debt</w:t>
            </w:r>
          </w:p>
        </w:tc>
        <w:tc>
          <w:tcPr>
            <w:tcW w:w="220" w:type="dxa"/>
            <w:vAlign w:val="bottom"/>
            <w:shd w:val="clear" w:color="auto" w:fill="CCEEFF"/>
          </w:tcPr>
          <w:p>
            <w:pPr>
              <w:spacing w:after="0"/>
              <w:rPr>
                <w:sz w:val="20"/>
                <w:szCs w:val="20"/>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(1,237.9)</w:t>
            </w:r>
          </w:p>
        </w:tc>
        <w:tc>
          <w:tcPr>
            <w:tcW w:w="14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(598.8)</w:t>
            </w:r>
          </w:p>
        </w:tc>
        <w:tc>
          <w:tcPr>
            <w:tcW w:w="1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(4,208.2)</w:t>
            </w:r>
          </w:p>
        </w:tc>
        <w:tc>
          <w:tcPr>
            <w:tcW w:w="12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(2,281.7)</w:t>
            </w:r>
          </w:p>
        </w:tc>
      </w:tr>
      <w:tr>
        <w:trPr>
          <w:trHeight w:val="230"/>
        </w:trPr>
        <w:tc>
          <w:tcPr>
            <w:tcW w:w="544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Dividends paid on common stock</w:t>
            </w:r>
          </w:p>
        </w:tc>
        <w:tc>
          <w:tcPr>
            <w:tcW w:w="2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(11.7)</w:t>
            </w:r>
          </w:p>
        </w:tc>
        <w:tc>
          <w:tcPr>
            <w:tcW w:w="1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(11.0)</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(32.6)</w:t>
            </w:r>
          </w:p>
        </w:tc>
        <w:tc>
          <w:tcPr>
            <w:tcW w:w="1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(30.3)</w:t>
            </w:r>
          </w:p>
        </w:tc>
      </w:tr>
      <w:tr>
        <w:trPr>
          <w:trHeight w:val="230"/>
        </w:trPr>
        <w:tc>
          <w:tcPr>
            <w:tcW w:w="54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Repurchases of common stock</w:t>
            </w:r>
          </w:p>
        </w:tc>
        <w:tc>
          <w:tcPr>
            <w:tcW w:w="220" w:type="dxa"/>
            <w:vAlign w:val="bottom"/>
            <w:shd w:val="clear" w:color="auto" w:fill="CCEEFF"/>
          </w:tcPr>
          <w:p>
            <w:pPr>
              <w:spacing w:after="0"/>
              <w:rPr>
                <w:sz w:val="20"/>
                <w:szCs w:val="20"/>
                <w:color w:val="auto"/>
              </w:rPr>
            </w:pPr>
          </w:p>
        </w:tc>
        <w:tc>
          <w:tcPr>
            <w:tcW w:w="12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48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(89.3)</w:t>
            </w:r>
          </w:p>
        </w:tc>
        <w:tc>
          <w:tcPr>
            <w:tcW w:w="12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(45.0)</w:t>
            </w:r>
          </w:p>
        </w:tc>
      </w:tr>
      <w:tr>
        <w:trPr>
          <w:trHeight w:val="230"/>
        </w:trPr>
        <w:tc>
          <w:tcPr>
            <w:tcW w:w="544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Other financing activities, net</w:t>
            </w:r>
          </w:p>
        </w:tc>
        <w:tc>
          <w:tcPr>
            <w:tcW w:w="220" w:type="dxa"/>
            <w:vAlign w:val="bottom"/>
          </w:tcPr>
          <w:p>
            <w:pPr>
              <w:spacing w:after="0"/>
              <w:rPr>
                <w:sz w:val="20"/>
                <w:szCs w:val="20"/>
                <w:color w:val="auto"/>
              </w:rPr>
            </w:pPr>
          </w:p>
        </w:tc>
        <w:tc>
          <w:tcPr>
            <w:tcW w:w="126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48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0.3</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3.0</w:t>
            </w:r>
          </w:p>
        </w:tc>
        <w:tc>
          <w:tcPr>
            <w:tcW w:w="1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(7.7)</w:t>
            </w:r>
          </w:p>
        </w:tc>
      </w:tr>
      <w:tr>
        <w:trPr>
          <w:trHeight w:val="223"/>
        </w:trPr>
        <w:tc>
          <w:tcPr>
            <w:tcW w:w="5440" w:type="dxa"/>
            <w:vAlign w:val="bottom"/>
            <w:tcBorders>
              <w:top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7"/>
                <w:szCs w:val="17"/>
                <w:b w:val="1"/>
                <w:bCs w:val="1"/>
                <w:color w:val="auto"/>
              </w:rPr>
              <w:t>Net cash provided by (used in) financing activities</w:t>
            </w:r>
          </w:p>
        </w:tc>
        <w:tc>
          <w:tcPr>
            <w:tcW w:w="220" w:type="dxa"/>
            <w:vAlign w:val="bottom"/>
            <w:tcBorders>
              <w:top w:val="single" w:sz="8" w:color="auto"/>
              <w:bottom w:val="single" w:sz="8" w:color="auto"/>
            </w:tcBorders>
            <w:shd w:val="clear" w:color="auto" w:fill="CCEEFF"/>
          </w:tcPr>
          <w:p>
            <w:pPr>
              <w:spacing w:after="0"/>
              <w:rPr>
                <w:sz w:val="19"/>
                <w:szCs w:val="19"/>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(69.6)</w:t>
            </w:r>
          </w:p>
        </w:tc>
        <w:tc>
          <w:tcPr>
            <w:tcW w:w="140" w:type="dxa"/>
            <w:vAlign w:val="bottom"/>
            <w:tcBorders>
              <w:top w:val="single" w:sz="8" w:color="CCEEFF"/>
            </w:tcBorders>
            <w:shd w:val="clear" w:color="auto" w:fill="CCEEFF"/>
          </w:tcPr>
          <w:p>
            <w:pPr>
              <w:spacing w:after="0"/>
              <w:rPr>
                <w:sz w:val="19"/>
                <w:szCs w:val="19"/>
                <w:color w:val="auto"/>
              </w:rPr>
            </w:pPr>
          </w:p>
        </w:tc>
        <w:tc>
          <w:tcPr>
            <w:tcW w:w="480" w:type="dxa"/>
            <w:vAlign w:val="bottom"/>
            <w:tcBorders>
              <w:top w:val="single" w:sz="8" w:color="auto"/>
              <w:bottom w:val="single" w:sz="8" w:color="auto"/>
            </w:tcBorders>
            <w:shd w:val="clear" w:color="auto" w:fill="CCEEFF"/>
          </w:tcPr>
          <w:p>
            <w:pPr>
              <w:spacing w:after="0"/>
              <w:rPr>
                <w:sz w:val="19"/>
                <w:szCs w:val="19"/>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(32.6)</w:t>
            </w:r>
          </w:p>
        </w:tc>
        <w:tc>
          <w:tcPr>
            <w:tcW w:w="12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spacing w:after="0"/>
              <w:rPr>
                <w:sz w:val="19"/>
                <w:szCs w:val="19"/>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(127.2)</w:t>
            </w:r>
          </w:p>
        </w:tc>
        <w:tc>
          <w:tcPr>
            <w:tcW w:w="120" w:type="dxa"/>
            <w:vAlign w:val="bottom"/>
            <w:tcBorders>
              <w:top w:val="single" w:sz="8" w:color="CCEEFF"/>
            </w:tcBorders>
            <w:shd w:val="clear" w:color="auto" w:fill="CCEEFF"/>
          </w:tcPr>
          <w:p>
            <w:pPr>
              <w:spacing w:after="0"/>
              <w:rPr>
                <w:sz w:val="19"/>
                <w:szCs w:val="19"/>
                <w:color w:val="auto"/>
              </w:rPr>
            </w:pPr>
          </w:p>
        </w:tc>
        <w:tc>
          <w:tcPr>
            <w:tcW w:w="500" w:type="dxa"/>
            <w:vAlign w:val="bottom"/>
            <w:tcBorders>
              <w:top w:val="single" w:sz="8" w:color="auto"/>
              <w:bottom w:val="single" w:sz="8" w:color="auto"/>
            </w:tcBorders>
            <w:shd w:val="clear" w:color="auto" w:fill="CCEEFF"/>
          </w:tcPr>
          <w:p>
            <w:pPr>
              <w:spacing w:after="0"/>
              <w:rPr>
                <w:sz w:val="19"/>
                <w:szCs w:val="19"/>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(163.7)</w:t>
            </w:r>
          </w:p>
        </w:tc>
      </w:tr>
      <w:tr>
        <w:trPr>
          <w:trHeight w:val="223"/>
        </w:trPr>
        <w:tc>
          <w:tcPr>
            <w:tcW w:w="544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7"/>
                <w:szCs w:val="17"/>
                <w:color w:val="auto"/>
              </w:rPr>
              <w:t>Effect of exchange rate changes on cash and cash equivalents</w:t>
            </w:r>
          </w:p>
        </w:tc>
        <w:tc>
          <w:tcPr>
            <w:tcW w:w="2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(5.6)</w:t>
            </w:r>
          </w:p>
        </w:tc>
        <w:tc>
          <w:tcPr>
            <w:tcW w:w="14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(13.1)</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(3.3)</w:t>
            </w:r>
          </w:p>
        </w:tc>
        <w:tc>
          <w:tcPr>
            <w:tcW w:w="12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0.5</w:t>
            </w:r>
          </w:p>
        </w:tc>
      </w:tr>
      <w:tr>
        <w:trPr>
          <w:trHeight w:val="223"/>
        </w:trPr>
        <w:tc>
          <w:tcPr>
            <w:tcW w:w="54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7"/>
                <w:szCs w:val="17"/>
                <w:b w:val="1"/>
                <w:bCs w:val="1"/>
                <w:color w:val="auto"/>
              </w:rPr>
              <w:t>Net increase (decrease) in cash and cash equivalents</w:t>
            </w:r>
          </w:p>
        </w:tc>
        <w:tc>
          <w:tcPr>
            <w:tcW w:w="2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82.5</w:t>
            </w:r>
          </w:p>
        </w:tc>
        <w:tc>
          <w:tcPr>
            <w:tcW w:w="14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70.4</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24.4</w:t>
            </w: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90.7</w:t>
            </w:r>
          </w:p>
        </w:tc>
      </w:tr>
      <w:tr>
        <w:trPr>
          <w:trHeight w:val="230"/>
        </w:trPr>
        <w:tc>
          <w:tcPr>
            <w:tcW w:w="54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Cash and cash equivalents, as of the beginning of the period</w:t>
            </w:r>
          </w:p>
        </w:tc>
        <w:tc>
          <w:tcPr>
            <w:tcW w:w="2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135.3</w:t>
            </w:r>
          </w:p>
        </w:tc>
        <w:tc>
          <w:tcPr>
            <w:tcW w:w="140" w:type="dxa"/>
            <w:vAlign w:val="bottom"/>
            <w:tcBorders>
              <w:bottom w:val="single" w:sz="8" w:color="CCEEFF"/>
            </w:tcBorders>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403.2</w:t>
            </w:r>
          </w:p>
        </w:tc>
        <w:tc>
          <w:tcPr>
            <w:tcW w:w="12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193.5</w:t>
            </w:r>
          </w:p>
        </w:tc>
        <w:tc>
          <w:tcPr>
            <w:tcW w:w="120" w:type="dxa"/>
            <w:vAlign w:val="bottom"/>
            <w:tcBorders>
              <w:bottom w:val="single" w:sz="8" w:color="CCEEFF"/>
            </w:tcBorders>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382.9</w:t>
            </w:r>
          </w:p>
        </w:tc>
      </w:tr>
      <w:tr>
        <w:trPr>
          <w:trHeight w:val="248"/>
        </w:trPr>
        <w:tc>
          <w:tcPr>
            <w:tcW w:w="54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7"/>
                <w:szCs w:val="17"/>
                <w:b w:val="1"/>
                <w:bCs w:val="1"/>
                <w:color w:val="auto"/>
              </w:rPr>
              <w:t>Cash and cash equivalents, as of the end of the period</w:t>
            </w:r>
          </w:p>
        </w:tc>
        <w:tc>
          <w:tcPr>
            <w:tcW w:w="220" w:type="dxa"/>
            <w:vAlign w:val="bottom"/>
            <w:tcBorders>
              <w:bottom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217.9</w:t>
            </w:r>
          </w:p>
        </w:tc>
        <w:tc>
          <w:tcPr>
            <w:tcW w:w="14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jc w:val="right"/>
              <w:ind w:right="295"/>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473.6</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217.9</w:t>
            </w: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jc w:val="right"/>
              <w:ind w:right="295"/>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473.6</w:t>
            </w:r>
          </w:p>
        </w:tc>
      </w:tr>
      <w:tr>
        <w:trPr>
          <w:trHeight w:val="20"/>
        </w:trPr>
        <w:tc>
          <w:tcPr>
            <w:tcW w:w="54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r>
    </w:tbl>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8</w:t>
      </w:r>
    </w:p>
    <w:p>
      <w:pPr>
        <w:sectPr>
          <w:pgSz w:w="11900" w:h="16838" w:orient="portrait"/>
          <w:cols w:equalWidth="0" w:num="1">
            <w:col w:w="11240"/>
          </w:cols>
          <w:pgMar w:left="320" w:top="1297" w:right="339" w:bottom="1440" w:gutter="0" w:footer="0" w:header="0"/>
        </w:sectPr>
      </w:pPr>
    </w:p>
    <w:bookmarkStart w:id="11" w:name="page12"/>
    <w:bookmarkEnd w:id="11"/>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WORLD KINECT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BUSINESS SEGMENTS INFORMATION</w:t>
      </w:r>
    </w:p>
    <w:p>
      <w:pPr>
        <w:spacing w:after="0" w:line="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7"/>
          <w:szCs w:val="17"/>
          <w:color w:val="auto"/>
        </w:rPr>
        <w:t>(Unaudited - In millions)</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54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740" w:type="dxa"/>
            <w:vAlign w:val="bottom"/>
            <w:gridSpan w:val="5"/>
          </w:tcPr>
          <w:p>
            <w:pPr>
              <w:ind w:left="120"/>
              <w:spacing w:after="0"/>
              <w:rPr>
                <w:sz w:val="20"/>
                <w:szCs w:val="20"/>
                <w:color w:val="auto"/>
              </w:rPr>
            </w:pPr>
            <w:r>
              <w:rPr>
                <w:rFonts w:ascii="Times New Roman" w:cs="Times New Roman" w:eastAsia="Times New Roman" w:hAnsi="Times New Roman"/>
                <w:sz w:val="17"/>
                <w:szCs w:val="17"/>
                <w:b w:val="1"/>
                <w:bCs w:val="1"/>
                <w:color w:val="auto"/>
              </w:rPr>
              <w:t>For the Three Months Ended</w:t>
            </w:r>
          </w:p>
        </w:tc>
        <w:tc>
          <w:tcPr>
            <w:tcW w:w="260" w:type="dxa"/>
            <w:vAlign w:val="bottom"/>
          </w:tcPr>
          <w:p>
            <w:pPr>
              <w:spacing w:after="0"/>
              <w:rPr>
                <w:sz w:val="17"/>
                <w:szCs w:val="17"/>
                <w:color w:val="auto"/>
              </w:rPr>
            </w:pPr>
          </w:p>
        </w:tc>
        <w:tc>
          <w:tcPr>
            <w:tcW w:w="2580" w:type="dxa"/>
            <w:vAlign w:val="bottom"/>
            <w:gridSpan w:val="4"/>
          </w:tcPr>
          <w:p>
            <w:pPr>
              <w:jc w:val="right"/>
              <w:ind w:right="315"/>
              <w:spacing w:after="0"/>
              <w:rPr>
                <w:sz w:val="20"/>
                <w:szCs w:val="20"/>
                <w:color w:val="auto"/>
              </w:rPr>
            </w:pPr>
            <w:r>
              <w:rPr>
                <w:rFonts w:ascii="Times New Roman" w:cs="Times New Roman" w:eastAsia="Times New Roman" w:hAnsi="Times New Roman"/>
                <w:sz w:val="17"/>
                <w:szCs w:val="17"/>
                <w:b w:val="1"/>
                <w:bCs w:val="1"/>
                <w:color w:val="auto"/>
              </w:rPr>
              <w:t>For the Nine Months Ended</w:t>
            </w:r>
          </w:p>
        </w:tc>
        <w:tc>
          <w:tcPr>
            <w:tcW w:w="0" w:type="dxa"/>
            <w:vAlign w:val="bottom"/>
          </w:tcPr>
          <w:p>
            <w:pPr>
              <w:spacing w:after="0"/>
              <w:rPr>
                <w:sz w:val="1"/>
                <w:szCs w:val="1"/>
                <w:color w:val="auto"/>
              </w:rPr>
            </w:pPr>
          </w:p>
        </w:tc>
      </w:tr>
      <w:tr>
        <w:trPr>
          <w:trHeight w:val="228"/>
        </w:trPr>
        <w:tc>
          <w:tcPr>
            <w:tcW w:w="544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7"/>
                <w:szCs w:val="17"/>
                <w:b w:val="1"/>
                <w:bCs w:val="1"/>
                <w:color w:val="auto"/>
              </w:rPr>
              <w:t>September 30,</w:t>
            </w:r>
          </w:p>
        </w:tc>
        <w:tc>
          <w:tcPr>
            <w:tcW w:w="88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7"/>
                <w:szCs w:val="17"/>
                <w:b w:val="1"/>
                <w:bCs w:val="1"/>
                <w:color w:val="auto"/>
              </w:rPr>
              <w:t>September 30,</w:t>
            </w:r>
          </w:p>
        </w:tc>
        <w:tc>
          <w:tcPr>
            <w:tcW w:w="86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54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Revenue:</w:t>
            </w:r>
          </w:p>
        </w:tc>
        <w:tc>
          <w:tcPr>
            <w:tcW w:w="2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415"/>
              <w:spacing w:after="0"/>
              <w:rPr>
                <w:sz w:val="20"/>
                <w:szCs w:val="20"/>
                <w:color w:val="auto"/>
              </w:rPr>
            </w:pPr>
            <w:r>
              <w:rPr>
                <w:rFonts w:ascii="Times New Roman" w:cs="Times New Roman" w:eastAsia="Times New Roman" w:hAnsi="Times New Roman"/>
                <w:sz w:val="17"/>
                <w:szCs w:val="17"/>
                <w:b w:val="1"/>
                <w:bCs w:val="1"/>
                <w:color w:val="auto"/>
              </w:rPr>
              <w:t>2026</w:t>
            </w:r>
          </w:p>
        </w:tc>
        <w:tc>
          <w:tcPr>
            <w:tcW w:w="14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435"/>
              <w:spacing w:after="0"/>
              <w:rPr>
                <w:sz w:val="20"/>
                <w:szCs w:val="20"/>
                <w:color w:val="auto"/>
              </w:rPr>
            </w:pPr>
            <w:r>
              <w:rPr>
                <w:rFonts w:ascii="Times New Roman" w:cs="Times New Roman" w:eastAsia="Times New Roman" w:hAnsi="Times New Roman"/>
                <w:sz w:val="17"/>
                <w:szCs w:val="17"/>
                <w:b w:val="1"/>
                <w:bCs w:val="1"/>
                <w:color w:val="auto"/>
                <w:w w:val="99"/>
              </w:rPr>
              <w:t>2025</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415"/>
              <w:spacing w:after="0"/>
              <w:rPr>
                <w:sz w:val="20"/>
                <w:szCs w:val="20"/>
                <w:color w:val="auto"/>
              </w:rPr>
            </w:pPr>
            <w:r>
              <w:rPr>
                <w:rFonts w:ascii="Times New Roman" w:cs="Times New Roman" w:eastAsia="Times New Roman" w:hAnsi="Times New Roman"/>
                <w:sz w:val="17"/>
                <w:szCs w:val="17"/>
                <w:b w:val="1"/>
                <w:bCs w:val="1"/>
                <w:color w:val="auto"/>
              </w:rPr>
              <w:t>2026</w:t>
            </w:r>
          </w:p>
        </w:tc>
        <w:tc>
          <w:tcPr>
            <w:tcW w:w="12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415"/>
              <w:spacing w:after="0"/>
              <w:rPr>
                <w:sz w:val="20"/>
                <w:szCs w:val="20"/>
                <w:color w:val="auto"/>
              </w:rPr>
            </w:pPr>
            <w:r>
              <w:rPr>
                <w:rFonts w:ascii="Times New Roman" w:cs="Times New Roman" w:eastAsia="Times New Roman" w:hAnsi="Times New Roman"/>
                <w:sz w:val="17"/>
                <w:szCs w:val="17"/>
                <w:b w:val="1"/>
                <w:bCs w:val="1"/>
                <w:color w:val="auto"/>
                <w:w w:val="99"/>
              </w:rPr>
              <w:t>2025</w:t>
            </w:r>
          </w:p>
        </w:tc>
        <w:tc>
          <w:tcPr>
            <w:tcW w:w="0" w:type="dxa"/>
            <w:vAlign w:val="bottom"/>
          </w:tcPr>
          <w:p>
            <w:pPr>
              <w:spacing w:after="0"/>
              <w:rPr>
                <w:sz w:val="1"/>
                <w:szCs w:val="1"/>
                <w:color w:val="auto"/>
              </w:rPr>
            </w:pPr>
          </w:p>
        </w:tc>
      </w:tr>
      <w:tr>
        <w:trPr>
          <w:trHeight w:val="223"/>
        </w:trPr>
        <w:tc>
          <w:tcPr>
            <w:tcW w:w="54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Aviation segment</w:t>
            </w:r>
          </w:p>
        </w:tc>
        <w:tc>
          <w:tcPr>
            <w:tcW w:w="22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7,647.7</w:t>
            </w:r>
          </w:p>
        </w:tc>
        <w:tc>
          <w:tcPr>
            <w:tcW w:w="14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95"/>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4,868.1</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20,652.3</w:t>
            </w: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295"/>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14,247.4</w:t>
            </w:r>
          </w:p>
        </w:tc>
        <w:tc>
          <w:tcPr>
            <w:tcW w:w="0" w:type="dxa"/>
            <w:vAlign w:val="bottom"/>
          </w:tcPr>
          <w:p>
            <w:pPr>
              <w:spacing w:after="0"/>
              <w:rPr>
                <w:sz w:val="1"/>
                <w:szCs w:val="1"/>
                <w:color w:val="auto"/>
              </w:rPr>
            </w:pPr>
          </w:p>
        </w:tc>
      </w:tr>
      <w:tr>
        <w:trPr>
          <w:trHeight w:val="230"/>
        </w:trPr>
        <w:tc>
          <w:tcPr>
            <w:tcW w:w="544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Land segment</w:t>
            </w:r>
          </w:p>
        </w:tc>
        <w:tc>
          <w:tcPr>
            <w:tcW w:w="2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2,855.7</w:t>
            </w:r>
          </w:p>
        </w:tc>
        <w:tc>
          <w:tcPr>
            <w:tcW w:w="1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2,535.6</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8,299.5</w:t>
            </w:r>
          </w:p>
        </w:tc>
        <w:tc>
          <w:tcPr>
            <w:tcW w:w="1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7,825.9</w:t>
            </w:r>
          </w:p>
        </w:tc>
        <w:tc>
          <w:tcPr>
            <w:tcW w:w="0" w:type="dxa"/>
            <w:vAlign w:val="bottom"/>
          </w:tcPr>
          <w:p>
            <w:pPr>
              <w:spacing w:after="0"/>
              <w:rPr>
                <w:sz w:val="1"/>
                <w:szCs w:val="1"/>
                <w:color w:val="auto"/>
              </w:rPr>
            </w:pPr>
          </w:p>
        </w:tc>
      </w:tr>
      <w:tr>
        <w:trPr>
          <w:trHeight w:val="230"/>
        </w:trPr>
        <w:tc>
          <w:tcPr>
            <w:tcW w:w="54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Marine segment</w:t>
            </w:r>
          </w:p>
        </w:tc>
        <w:tc>
          <w:tcPr>
            <w:tcW w:w="220" w:type="dxa"/>
            <w:vAlign w:val="bottom"/>
            <w:tcBorders>
              <w:bottom w:val="single" w:sz="8" w:color="auto"/>
            </w:tcBorders>
            <w:shd w:val="clear" w:color="auto" w:fill="CCEEFF"/>
          </w:tcPr>
          <w:p>
            <w:pPr>
              <w:spacing w:after="0"/>
              <w:rPr>
                <w:sz w:val="20"/>
                <w:szCs w:val="20"/>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2,767.3</w:t>
            </w:r>
          </w:p>
        </w:tc>
        <w:tc>
          <w:tcPr>
            <w:tcW w:w="140" w:type="dxa"/>
            <w:vAlign w:val="bottom"/>
            <w:shd w:val="clear" w:color="auto" w:fill="CCEEFF"/>
          </w:tcPr>
          <w:p>
            <w:pPr>
              <w:spacing w:after="0"/>
              <w:rPr>
                <w:sz w:val="20"/>
                <w:szCs w:val="20"/>
                <w:color w:val="auto"/>
              </w:rPr>
            </w:pPr>
          </w:p>
        </w:tc>
        <w:tc>
          <w:tcPr>
            <w:tcW w:w="480" w:type="dxa"/>
            <w:vAlign w:val="bottom"/>
            <w:tcBorders>
              <w:bottom w:val="single" w:sz="8" w:color="auto"/>
            </w:tcBorders>
            <w:shd w:val="clear" w:color="auto" w:fill="CCEEFF"/>
          </w:tcPr>
          <w:p>
            <w:pPr>
              <w:spacing w:after="0"/>
              <w:rPr>
                <w:sz w:val="20"/>
                <w:szCs w:val="20"/>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1,988.1</w:t>
            </w:r>
          </w:p>
        </w:tc>
        <w:tc>
          <w:tcPr>
            <w:tcW w:w="120" w:type="dxa"/>
            <w:vAlign w:val="bottom"/>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spacing w:after="0"/>
              <w:rPr>
                <w:sz w:val="20"/>
                <w:szCs w:val="20"/>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7,595.1</w:t>
            </w:r>
          </w:p>
        </w:tc>
        <w:tc>
          <w:tcPr>
            <w:tcW w:w="120" w:type="dxa"/>
            <w:vAlign w:val="bottom"/>
            <w:shd w:val="clear" w:color="auto" w:fill="CCEEFF"/>
          </w:tcPr>
          <w:p>
            <w:pPr>
              <w:spacing w:after="0"/>
              <w:rPr>
                <w:sz w:val="20"/>
                <w:szCs w:val="20"/>
                <w:color w:val="auto"/>
              </w:rPr>
            </w:pPr>
          </w:p>
        </w:tc>
        <w:tc>
          <w:tcPr>
            <w:tcW w:w="500" w:type="dxa"/>
            <w:vAlign w:val="bottom"/>
            <w:tcBorders>
              <w:bottom w:val="single" w:sz="8" w:color="auto"/>
            </w:tcBorders>
            <w:shd w:val="clear" w:color="auto" w:fill="CCEEFF"/>
          </w:tcPr>
          <w:p>
            <w:pPr>
              <w:spacing w:after="0"/>
              <w:rPr>
                <w:sz w:val="20"/>
                <w:szCs w:val="20"/>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5,814.3</w:t>
            </w:r>
          </w:p>
        </w:tc>
        <w:tc>
          <w:tcPr>
            <w:tcW w:w="0" w:type="dxa"/>
            <w:vAlign w:val="bottom"/>
          </w:tcPr>
          <w:p>
            <w:pPr>
              <w:spacing w:after="0"/>
              <w:rPr>
                <w:sz w:val="1"/>
                <w:szCs w:val="1"/>
                <w:color w:val="auto"/>
              </w:rPr>
            </w:pPr>
          </w:p>
        </w:tc>
      </w:tr>
      <w:tr>
        <w:trPr>
          <w:trHeight w:val="223"/>
        </w:trPr>
        <w:tc>
          <w:tcPr>
            <w:tcW w:w="544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Total revenue</w:t>
            </w:r>
          </w:p>
        </w:tc>
        <w:tc>
          <w:tcPr>
            <w:tcW w:w="22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13,270.7</w:t>
            </w:r>
          </w:p>
        </w:tc>
        <w:tc>
          <w:tcPr>
            <w:tcW w:w="140" w:type="dxa"/>
            <w:vAlign w:val="bottom"/>
          </w:tcPr>
          <w:p>
            <w:pPr>
              <w:spacing w:after="0"/>
              <w:rPr>
                <w:sz w:val="19"/>
                <w:szCs w:val="19"/>
                <w:color w:val="auto"/>
              </w:rPr>
            </w:pPr>
          </w:p>
        </w:tc>
        <w:tc>
          <w:tcPr>
            <w:tcW w:w="480" w:type="dxa"/>
            <w:vAlign w:val="bottom"/>
            <w:tcBorders>
              <w:bottom w:val="single" w:sz="8" w:color="auto"/>
            </w:tcBorders>
          </w:tcPr>
          <w:p>
            <w:pPr>
              <w:jc w:val="right"/>
              <w:ind w:right="295"/>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9,391.8</w:t>
            </w:r>
          </w:p>
        </w:tc>
        <w:tc>
          <w:tcPr>
            <w:tcW w:w="120" w:type="dxa"/>
            <w:vAlign w:val="bottom"/>
          </w:tcPr>
          <w:p>
            <w:pPr>
              <w:spacing w:after="0"/>
              <w:rPr>
                <w:sz w:val="19"/>
                <w:szCs w:val="19"/>
                <w:color w:val="auto"/>
              </w:rPr>
            </w:pPr>
          </w:p>
        </w:tc>
        <w:tc>
          <w:tcPr>
            <w:tcW w:w="260" w:type="dxa"/>
            <w:vAlign w:val="bottom"/>
            <w:tcBorders>
              <w:bottom w:val="single" w:sz="8" w:color="auto"/>
            </w:tcBorders>
          </w:tcPr>
          <w:p>
            <w:pPr>
              <w:jc w:val="right"/>
              <w:ind w:right="75"/>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36,546.9</w:t>
            </w:r>
          </w:p>
        </w:tc>
        <w:tc>
          <w:tcPr>
            <w:tcW w:w="120" w:type="dxa"/>
            <w:vAlign w:val="bottom"/>
          </w:tcPr>
          <w:p>
            <w:pPr>
              <w:spacing w:after="0"/>
              <w:rPr>
                <w:sz w:val="19"/>
                <w:szCs w:val="19"/>
                <w:color w:val="auto"/>
              </w:rPr>
            </w:pPr>
          </w:p>
        </w:tc>
        <w:tc>
          <w:tcPr>
            <w:tcW w:w="500" w:type="dxa"/>
            <w:vAlign w:val="bottom"/>
            <w:tcBorders>
              <w:bottom w:val="single" w:sz="8" w:color="auto"/>
            </w:tcBorders>
          </w:tcPr>
          <w:p>
            <w:pPr>
              <w:jc w:val="right"/>
              <w:ind w:right="295"/>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27,887.6</w:t>
            </w:r>
          </w:p>
        </w:tc>
        <w:tc>
          <w:tcPr>
            <w:tcW w:w="0" w:type="dxa"/>
            <w:vAlign w:val="bottom"/>
          </w:tcPr>
          <w:p>
            <w:pPr>
              <w:spacing w:after="0"/>
              <w:rPr>
                <w:sz w:val="1"/>
                <w:szCs w:val="1"/>
                <w:color w:val="auto"/>
              </w:rPr>
            </w:pPr>
          </w:p>
        </w:tc>
      </w:tr>
      <w:tr>
        <w:trPr>
          <w:trHeight w:val="20"/>
        </w:trPr>
        <w:tc>
          <w:tcPr>
            <w:tcW w:w="544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Gross profit:</w:t>
            </w:r>
          </w:p>
        </w:tc>
        <w:tc>
          <w:tcPr>
            <w:tcW w:w="2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44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Aviation segment</w:t>
            </w:r>
          </w:p>
        </w:tc>
        <w:tc>
          <w:tcPr>
            <w:tcW w:w="22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147.9</w:t>
            </w:r>
          </w:p>
        </w:tc>
        <w:tc>
          <w:tcPr>
            <w:tcW w:w="140" w:type="dxa"/>
            <w:vAlign w:val="bottom"/>
          </w:tcPr>
          <w:p>
            <w:pPr>
              <w:spacing w:after="0"/>
              <w:rPr>
                <w:sz w:val="20"/>
                <w:szCs w:val="20"/>
                <w:color w:val="auto"/>
              </w:rPr>
            </w:pPr>
          </w:p>
        </w:tc>
        <w:tc>
          <w:tcPr>
            <w:tcW w:w="480" w:type="dxa"/>
            <w:vAlign w:val="bottom"/>
          </w:tcPr>
          <w:p>
            <w:pPr>
              <w:jc w:val="right"/>
              <w:ind w:right="295"/>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142.8</w:t>
            </w:r>
          </w:p>
        </w:tc>
        <w:tc>
          <w:tcPr>
            <w:tcW w:w="120" w:type="dxa"/>
            <w:vAlign w:val="bottom"/>
          </w:tcPr>
          <w:p>
            <w:pPr>
              <w:spacing w:after="0"/>
              <w:rPr>
                <w:sz w:val="20"/>
                <w:szCs w:val="20"/>
                <w:color w:val="auto"/>
              </w:rPr>
            </w:pPr>
          </w:p>
        </w:tc>
        <w:tc>
          <w:tcPr>
            <w:tcW w:w="260" w:type="dxa"/>
            <w:vAlign w:val="bottom"/>
          </w:tcPr>
          <w:p>
            <w:pPr>
              <w:jc w:val="right"/>
              <w:ind w:right="75"/>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494.2</w:t>
            </w:r>
          </w:p>
        </w:tc>
        <w:tc>
          <w:tcPr>
            <w:tcW w:w="120" w:type="dxa"/>
            <w:vAlign w:val="bottom"/>
          </w:tcPr>
          <w:p>
            <w:pPr>
              <w:spacing w:after="0"/>
              <w:rPr>
                <w:sz w:val="20"/>
                <w:szCs w:val="20"/>
                <w:color w:val="auto"/>
              </w:rPr>
            </w:pPr>
          </w:p>
        </w:tc>
        <w:tc>
          <w:tcPr>
            <w:tcW w:w="500" w:type="dxa"/>
            <w:vAlign w:val="bottom"/>
          </w:tcPr>
          <w:p>
            <w:pPr>
              <w:jc w:val="right"/>
              <w:ind w:right="295"/>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396.4</w:t>
            </w:r>
          </w:p>
        </w:tc>
        <w:tc>
          <w:tcPr>
            <w:tcW w:w="0" w:type="dxa"/>
            <w:vAlign w:val="bottom"/>
          </w:tcPr>
          <w:p>
            <w:pPr>
              <w:spacing w:after="0"/>
              <w:rPr>
                <w:sz w:val="1"/>
                <w:szCs w:val="1"/>
                <w:color w:val="auto"/>
              </w:rPr>
            </w:pPr>
          </w:p>
        </w:tc>
      </w:tr>
      <w:tr>
        <w:trPr>
          <w:trHeight w:val="230"/>
        </w:trPr>
        <w:tc>
          <w:tcPr>
            <w:tcW w:w="54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Land segment</w:t>
            </w:r>
          </w:p>
        </w:tc>
        <w:tc>
          <w:tcPr>
            <w:tcW w:w="220" w:type="dxa"/>
            <w:vAlign w:val="bottom"/>
            <w:shd w:val="clear" w:color="auto" w:fill="CCEEFF"/>
          </w:tcPr>
          <w:p>
            <w:pPr>
              <w:spacing w:after="0"/>
              <w:rPr>
                <w:sz w:val="20"/>
                <w:szCs w:val="20"/>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81.4</w:t>
            </w:r>
          </w:p>
        </w:tc>
        <w:tc>
          <w:tcPr>
            <w:tcW w:w="14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81.4</w:t>
            </w:r>
          </w:p>
        </w:tc>
        <w:tc>
          <w:tcPr>
            <w:tcW w:w="1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225.4</w:t>
            </w:r>
          </w:p>
        </w:tc>
        <w:tc>
          <w:tcPr>
            <w:tcW w:w="12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227.8</w:t>
            </w:r>
          </w:p>
        </w:tc>
        <w:tc>
          <w:tcPr>
            <w:tcW w:w="0" w:type="dxa"/>
            <w:vAlign w:val="bottom"/>
          </w:tcPr>
          <w:p>
            <w:pPr>
              <w:spacing w:after="0"/>
              <w:rPr>
                <w:sz w:val="1"/>
                <w:szCs w:val="1"/>
                <w:color w:val="auto"/>
              </w:rPr>
            </w:pPr>
          </w:p>
        </w:tc>
      </w:tr>
      <w:tr>
        <w:trPr>
          <w:trHeight w:val="230"/>
        </w:trPr>
        <w:tc>
          <w:tcPr>
            <w:tcW w:w="54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7"/>
                <w:szCs w:val="17"/>
                <w:color w:val="auto"/>
              </w:rPr>
              <w:t>Marine segment</w:t>
            </w:r>
          </w:p>
        </w:tc>
        <w:tc>
          <w:tcPr>
            <w:tcW w:w="2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58.8</w:t>
            </w:r>
          </w:p>
        </w:tc>
        <w:tc>
          <w:tcPr>
            <w:tcW w:w="140" w:type="dxa"/>
            <w:vAlign w:val="bottom"/>
            <w:tcBorders>
              <w:bottom w:val="single" w:sz="8" w:color="CCEEFF"/>
            </w:tcBorders>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25.5</w:t>
            </w:r>
          </w:p>
        </w:tc>
        <w:tc>
          <w:tcPr>
            <w:tcW w:w="12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204.8</w:t>
            </w:r>
          </w:p>
        </w:tc>
        <w:tc>
          <w:tcPr>
            <w:tcW w:w="120" w:type="dxa"/>
            <w:vAlign w:val="bottom"/>
            <w:tcBorders>
              <w:bottom w:val="single" w:sz="8" w:color="CCEEFF"/>
            </w:tcBorders>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88.2</w:t>
            </w:r>
          </w:p>
        </w:tc>
        <w:tc>
          <w:tcPr>
            <w:tcW w:w="0" w:type="dxa"/>
            <w:vAlign w:val="bottom"/>
          </w:tcPr>
          <w:p>
            <w:pPr>
              <w:spacing w:after="0"/>
              <w:rPr>
                <w:sz w:val="1"/>
                <w:szCs w:val="1"/>
                <w:color w:val="auto"/>
              </w:rPr>
            </w:pPr>
          </w:p>
        </w:tc>
      </w:tr>
      <w:tr>
        <w:trPr>
          <w:trHeight w:val="248"/>
        </w:trPr>
        <w:tc>
          <w:tcPr>
            <w:tcW w:w="544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Total gross profit</w:t>
            </w:r>
          </w:p>
        </w:tc>
        <w:tc>
          <w:tcPr>
            <w:tcW w:w="220" w:type="dxa"/>
            <w:vAlign w:val="bottom"/>
            <w:tcBorders>
              <w:bottom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288.1</w:t>
            </w:r>
          </w:p>
        </w:tc>
        <w:tc>
          <w:tcPr>
            <w:tcW w:w="14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jc w:val="right"/>
              <w:ind w:right="295"/>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249.6</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924.4</w:t>
            </w: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jc w:val="right"/>
              <w:ind w:right="295"/>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712.4</w:t>
            </w:r>
          </w:p>
        </w:tc>
        <w:tc>
          <w:tcPr>
            <w:tcW w:w="0" w:type="dxa"/>
            <w:vAlign w:val="bottom"/>
          </w:tcPr>
          <w:p>
            <w:pPr>
              <w:spacing w:after="0"/>
              <w:rPr>
                <w:sz w:val="1"/>
                <w:szCs w:val="1"/>
                <w:color w:val="auto"/>
              </w:rPr>
            </w:pPr>
          </w:p>
        </w:tc>
      </w:tr>
      <w:tr>
        <w:trPr>
          <w:trHeight w:val="20"/>
        </w:trPr>
        <w:tc>
          <w:tcPr>
            <w:tcW w:w="544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7"/>
                <w:szCs w:val="17"/>
                <w:color w:val="auto"/>
              </w:rPr>
              <w:t>Income (loss) from operations:</w:t>
            </w: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544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54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Aviation segment</w:t>
            </w:r>
          </w:p>
        </w:tc>
        <w:tc>
          <w:tcPr>
            <w:tcW w:w="22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77.5</w:t>
            </w:r>
          </w:p>
        </w:tc>
        <w:tc>
          <w:tcPr>
            <w:tcW w:w="140" w:type="dxa"/>
            <w:vAlign w:val="bottom"/>
            <w:shd w:val="clear" w:color="auto" w:fill="CCEEFF"/>
          </w:tcPr>
          <w:p>
            <w:pPr>
              <w:spacing w:after="0"/>
              <w:rPr>
                <w:sz w:val="20"/>
                <w:szCs w:val="20"/>
                <w:color w:val="auto"/>
              </w:rPr>
            </w:pPr>
          </w:p>
        </w:tc>
        <w:tc>
          <w:tcPr>
            <w:tcW w:w="480" w:type="dxa"/>
            <w:vAlign w:val="bottom"/>
            <w:shd w:val="clear" w:color="auto" w:fill="CCEEFF"/>
          </w:tcPr>
          <w:p>
            <w:pPr>
              <w:jc w:val="right"/>
              <w:ind w:right="295"/>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77.1</w:t>
            </w:r>
          </w:p>
        </w:tc>
        <w:tc>
          <w:tcPr>
            <w:tcW w:w="120" w:type="dxa"/>
            <w:vAlign w:val="bottom"/>
            <w:shd w:val="clear" w:color="auto" w:fill="CCEEFF"/>
          </w:tcPr>
          <w:p>
            <w:pPr>
              <w:spacing w:after="0"/>
              <w:rPr>
                <w:sz w:val="20"/>
                <w:szCs w:val="20"/>
                <w:color w:val="auto"/>
              </w:rPr>
            </w:pPr>
          </w:p>
        </w:tc>
        <w:tc>
          <w:tcPr>
            <w:tcW w:w="260" w:type="dxa"/>
            <w:vAlign w:val="bottom"/>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240.0</w:t>
            </w:r>
          </w:p>
        </w:tc>
        <w:tc>
          <w:tcPr>
            <w:tcW w:w="120" w:type="dxa"/>
            <w:vAlign w:val="bottom"/>
            <w:shd w:val="clear" w:color="auto" w:fill="CCEEFF"/>
          </w:tcPr>
          <w:p>
            <w:pPr>
              <w:spacing w:after="0"/>
              <w:rPr>
                <w:sz w:val="20"/>
                <w:szCs w:val="20"/>
                <w:color w:val="auto"/>
              </w:rPr>
            </w:pPr>
          </w:p>
        </w:tc>
        <w:tc>
          <w:tcPr>
            <w:tcW w:w="500" w:type="dxa"/>
            <w:vAlign w:val="bottom"/>
            <w:shd w:val="clear" w:color="auto" w:fill="CCEEFF"/>
          </w:tcPr>
          <w:p>
            <w:pPr>
              <w:jc w:val="right"/>
              <w:ind w:right="295"/>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204.9</w:t>
            </w:r>
          </w:p>
        </w:tc>
        <w:tc>
          <w:tcPr>
            <w:tcW w:w="0" w:type="dxa"/>
            <w:vAlign w:val="bottom"/>
          </w:tcPr>
          <w:p>
            <w:pPr>
              <w:spacing w:after="0"/>
              <w:rPr>
                <w:sz w:val="1"/>
                <w:szCs w:val="1"/>
                <w:color w:val="auto"/>
              </w:rPr>
            </w:pPr>
          </w:p>
        </w:tc>
      </w:tr>
      <w:tr>
        <w:trPr>
          <w:trHeight w:val="230"/>
        </w:trPr>
        <w:tc>
          <w:tcPr>
            <w:tcW w:w="544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Land segment</w:t>
            </w:r>
          </w:p>
        </w:tc>
        <w:tc>
          <w:tcPr>
            <w:tcW w:w="2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27.8</w:t>
            </w:r>
          </w:p>
        </w:tc>
        <w:tc>
          <w:tcPr>
            <w:tcW w:w="1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11.7</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36.3</w:t>
            </w:r>
          </w:p>
        </w:tc>
        <w:tc>
          <w:tcPr>
            <w:tcW w:w="1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(400.4)</w:t>
            </w:r>
          </w:p>
        </w:tc>
        <w:tc>
          <w:tcPr>
            <w:tcW w:w="0" w:type="dxa"/>
            <w:vAlign w:val="bottom"/>
          </w:tcPr>
          <w:p>
            <w:pPr>
              <w:spacing w:after="0"/>
              <w:rPr>
                <w:sz w:val="1"/>
                <w:szCs w:val="1"/>
                <w:color w:val="auto"/>
              </w:rPr>
            </w:pPr>
          </w:p>
        </w:tc>
      </w:tr>
      <w:tr>
        <w:trPr>
          <w:trHeight w:val="230"/>
        </w:trPr>
        <w:tc>
          <w:tcPr>
            <w:tcW w:w="54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Marine segment</w:t>
            </w:r>
          </w:p>
        </w:tc>
        <w:tc>
          <w:tcPr>
            <w:tcW w:w="220" w:type="dxa"/>
            <w:vAlign w:val="bottom"/>
            <w:shd w:val="clear" w:color="auto" w:fill="CCEEFF"/>
          </w:tcPr>
          <w:p>
            <w:pPr>
              <w:spacing w:after="0"/>
              <w:rPr>
                <w:sz w:val="20"/>
                <w:szCs w:val="20"/>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36.8</w:t>
            </w:r>
          </w:p>
        </w:tc>
        <w:tc>
          <w:tcPr>
            <w:tcW w:w="14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4.7</w:t>
            </w:r>
          </w:p>
        </w:tc>
        <w:tc>
          <w:tcPr>
            <w:tcW w:w="1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92.0</w:t>
            </w:r>
          </w:p>
        </w:tc>
        <w:tc>
          <w:tcPr>
            <w:tcW w:w="12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(6.1)</w:t>
            </w:r>
          </w:p>
        </w:tc>
        <w:tc>
          <w:tcPr>
            <w:tcW w:w="0" w:type="dxa"/>
            <w:vAlign w:val="bottom"/>
          </w:tcPr>
          <w:p>
            <w:pPr>
              <w:spacing w:after="0"/>
              <w:rPr>
                <w:sz w:val="1"/>
                <w:szCs w:val="1"/>
                <w:color w:val="auto"/>
              </w:rPr>
            </w:pPr>
          </w:p>
        </w:tc>
      </w:tr>
      <w:tr>
        <w:trPr>
          <w:trHeight w:val="230"/>
        </w:trPr>
        <w:tc>
          <w:tcPr>
            <w:tcW w:w="54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7"/>
                <w:szCs w:val="17"/>
                <w:color w:val="auto"/>
              </w:rPr>
              <w:t>Corporate overhead - unallocated</w:t>
            </w:r>
          </w:p>
        </w:tc>
        <w:tc>
          <w:tcPr>
            <w:tcW w:w="2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(61.9)</w:t>
            </w:r>
          </w:p>
        </w:tc>
        <w:tc>
          <w:tcPr>
            <w:tcW w:w="140" w:type="dxa"/>
            <w:vAlign w:val="bottom"/>
            <w:tcBorders>
              <w:bottom w:val="single" w:sz="8" w:color="CCEEFF"/>
            </w:tcBorders>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(30.7)</w:t>
            </w:r>
          </w:p>
        </w:tc>
        <w:tc>
          <w:tcPr>
            <w:tcW w:w="12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(135.8)</w:t>
            </w:r>
          </w:p>
        </w:tc>
        <w:tc>
          <w:tcPr>
            <w:tcW w:w="120" w:type="dxa"/>
            <w:vAlign w:val="bottom"/>
            <w:tcBorders>
              <w:bottom w:val="single" w:sz="8" w:color="CCEEFF"/>
            </w:tcBorders>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(87.2)</w:t>
            </w:r>
          </w:p>
        </w:tc>
        <w:tc>
          <w:tcPr>
            <w:tcW w:w="0" w:type="dxa"/>
            <w:vAlign w:val="bottom"/>
          </w:tcPr>
          <w:p>
            <w:pPr>
              <w:spacing w:after="0"/>
              <w:rPr>
                <w:sz w:val="1"/>
                <w:szCs w:val="1"/>
                <w:color w:val="auto"/>
              </w:rPr>
            </w:pPr>
          </w:p>
        </w:tc>
      </w:tr>
      <w:tr>
        <w:trPr>
          <w:trHeight w:val="248"/>
        </w:trPr>
        <w:tc>
          <w:tcPr>
            <w:tcW w:w="544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Total income (loss) from operations</w:t>
            </w:r>
          </w:p>
        </w:tc>
        <w:tc>
          <w:tcPr>
            <w:tcW w:w="220" w:type="dxa"/>
            <w:vAlign w:val="bottom"/>
            <w:tcBorders>
              <w:bottom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80.1</w:t>
            </w:r>
          </w:p>
        </w:tc>
        <w:tc>
          <w:tcPr>
            <w:tcW w:w="14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jc w:val="right"/>
              <w:ind w:right="295"/>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62.9</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232.5</w:t>
            </w: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jc w:val="right"/>
              <w:ind w:right="295"/>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(288.8)</w:t>
            </w:r>
          </w:p>
        </w:tc>
        <w:tc>
          <w:tcPr>
            <w:tcW w:w="0" w:type="dxa"/>
            <w:vAlign w:val="bottom"/>
          </w:tcPr>
          <w:p>
            <w:pPr>
              <w:spacing w:after="0"/>
              <w:rPr>
                <w:sz w:val="1"/>
                <w:szCs w:val="1"/>
                <w:color w:val="auto"/>
              </w:rPr>
            </w:pPr>
          </w:p>
        </w:tc>
      </w:tr>
      <w:tr>
        <w:trPr>
          <w:trHeight w:val="20"/>
        </w:trPr>
        <w:tc>
          <w:tcPr>
            <w:tcW w:w="54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SALES VOLUME SUPPLEMENTAL INFORMATION</w:t>
      </w:r>
    </w:p>
    <w:p>
      <w:pPr>
        <w:spacing w:after="0" w:line="3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7"/>
          <w:szCs w:val="17"/>
          <w:color w:val="auto"/>
        </w:rPr>
        <w:t>(Unaudited - In millions)</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5440" w:type="dxa"/>
            <w:vAlign w:val="bottom"/>
          </w:tcPr>
          <w:p>
            <w:pPr>
              <w:spacing w:after="0"/>
              <w:rPr>
                <w:sz w:val="16"/>
                <w:szCs w:val="16"/>
                <w:color w:val="auto"/>
              </w:rPr>
            </w:pPr>
          </w:p>
        </w:tc>
        <w:tc>
          <w:tcPr>
            <w:tcW w:w="2960" w:type="dxa"/>
            <w:vAlign w:val="bottom"/>
            <w:gridSpan w:val="5"/>
          </w:tcPr>
          <w:p>
            <w:pPr>
              <w:jc w:val="center"/>
              <w:ind w:right="140"/>
              <w:spacing w:after="0"/>
              <w:rPr>
                <w:sz w:val="20"/>
                <w:szCs w:val="20"/>
                <w:color w:val="auto"/>
              </w:rPr>
            </w:pPr>
            <w:r>
              <w:rPr>
                <w:rFonts w:ascii="Times New Roman" w:cs="Times New Roman" w:eastAsia="Times New Roman" w:hAnsi="Times New Roman"/>
                <w:sz w:val="17"/>
                <w:szCs w:val="17"/>
                <w:b w:val="1"/>
                <w:bCs w:val="1"/>
                <w:color w:val="auto"/>
              </w:rPr>
              <w:t>For the Three Months Ended</w:t>
            </w:r>
          </w:p>
        </w:tc>
        <w:tc>
          <w:tcPr>
            <w:tcW w:w="2840" w:type="dxa"/>
            <w:vAlign w:val="bottom"/>
            <w:gridSpan w:val="4"/>
          </w:tcPr>
          <w:p>
            <w:pPr>
              <w:jc w:val="center"/>
              <w:spacing w:after="0"/>
              <w:rPr>
                <w:sz w:val="20"/>
                <w:szCs w:val="20"/>
                <w:color w:val="auto"/>
              </w:rPr>
            </w:pPr>
            <w:r>
              <w:rPr>
                <w:rFonts w:ascii="Times New Roman" w:cs="Times New Roman" w:eastAsia="Times New Roman" w:hAnsi="Times New Roman"/>
                <w:sz w:val="17"/>
                <w:szCs w:val="17"/>
                <w:b w:val="1"/>
                <w:bCs w:val="1"/>
                <w:color w:val="auto"/>
              </w:rPr>
              <w:t>For the Nine Months Ended</w:t>
            </w:r>
          </w:p>
        </w:tc>
      </w:tr>
      <w:tr>
        <w:trPr>
          <w:trHeight w:val="228"/>
        </w:trPr>
        <w:tc>
          <w:tcPr>
            <w:tcW w:w="5440" w:type="dxa"/>
            <w:vAlign w:val="bottom"/>
          </w:tcPr>
          <w:p>
            <w:pPr>
              <w:spacing w:after="0"/>
              <w:rPr>
                <w:sz w:val="19"/>
                <w:szCs w:val="19"/>
                <w:color w:val="auto"/>
              </w:rPr>
            </w:pPr>
          </w:p>
        </w:tc>
        <w:tc>
          <w:tcPr>
            <w:tcW w:w="1960" w:type="dxa"/>
            <w:vAlign w:val="bottom"/>
            <w:tcBorders>
              <w:bottom w:val="single" w:sz="8" w:color="auto"/>
            </w:tcBorders>
            <w:gridSpan w:val="3"/>
          </w:tcPr>
          <w:p>
            <w:pPr>
              <w:jc w:val="center"/>
              <w:ind w:left="795"/>
              <w:spacing w:after="0"/>
              <w:rPr>
                <w:sz w:val="20"/>
                <w:szCs w:val="20"/>
                <w:color w:val="auto"/>
              </w:rPr>
            </w:pPr>
            <w:r>
              <w:rPr>
                <w:rFonts w:ascii="Times New Roman" w:cs="Times New Roman" w:eastAsia="Times New Roman" w:hAnsi="Times New Roman"/>
                <w:sz w:val="17"/>
                <w:szCs w:val="17"/>
                <w:b w:val="1"/>
                <w:bCs w:val="1"/>
                <w:color w:val="auto"/>
              </w:rPr>
              <w:t>September 30,</w:t>
            </w:r>
          </w:p>
        </w:tc>
        <w:tc>
          <w:tcPr>
            <w:tcW w:w="88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980" w:type="dxa"/>
            <w:vAlign w:val="bottom"/>
            <w:tcBorders>
              <w:bottom w:val="single" w:sz="8" w:color="auto"/>
            </w:tcBorders>
            <w:gridSpan w:val="3"/>
          </w:tcPr>
          <w:p>
            <w:pPr>
              <w:jc w:val="center"/>
              <w:ind w:left="775"/>
              <w:spacing w:after="0"/>
              <w:rPr>
                <w:sz w:val="20"/>
                <w:szCs w:val="20"/>
                <w:color w:val="auto"/>
              </w:rPr>
            </w:pPr>
            <w:r>
              <w:rPr>
                <w:rFonts w:ascii="Times New Roman" w:cs="Times New Roman" w:eastAsia="Times New Roman" w:hAnsi="Times New Roman"/>
                <w:sz w:val="17"/>
                <w:szCs w:val="17"/>
                <w:b w:val="1"/>
                <w:bCs w:val="1"/>
                <w:color w:val="auto"/>
              </w:rPr>
              <w:t>September 30,</w:t>
            </w:r>
          </w:p>
        </w:tc>
        <w:tc>
          <w:tcPr>
            <w:tcW w:w="860" w:type="dxa"/>
            <w:vAlign w:val="bottom"/>
            <w:tcBorders>
              <w:bottom w:val="single" w:sz="8" w:color="auto"/>
            </w:tcBorders>
          </w:tcPr>
          <w:p>
            <w:pPr>
              <w:spacing w:after="0"/>
              <w:rPr>
                <w:sz w:val="19"/>
                <w:szCs w:val="19"/>
                <w:color w:val="auto"/>
              </w:rPr>
            </w:pPr>
          </w:p>
        </w:tc>
      </w:tr>
      <w:tr>
        <w:trPr>
          <w:trHeight w:val="226"/>
        </w:trPr>
        <w:tc>
          <w:tcPr>
            <w:tcW w:w="544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7"/>
                <w:szCs w:val="17"/>
                <w:color w:val="auto"/>
              </w:rPr>
              <w:t>Volume (Gallons):</w:t>
            </w:r>
          </w:p>
        </w:tc>
        <w:tc>
          <w:tcPr>
            <w:tcW w:w="1340" w:type="dxa"/>
            <w:vAlign w:val="bottom"/>
            <w:tcBorders>
              <w:bottom w:val="single" w:sz="8" w:color="auto"/>
            </w:tcBorders>
          </w:tcPr>
          <w:p>
            <w:pPr>
              <w:jc w:val="right"/>
              <w:ind w:right="415"/>
              <w:spacing w:after="0"/>
              <w:rPr>
                <w:sz w:val="20"/>
                <w:szCs w:val="20"/>
                <w:color w:val="auto"/>
              </w:rPr>
            </w:pPr>
            <w:r>
              <w:rPr>
                <w:rFonts w:ascii="Times New Roman" w:cs="Times New Roman" w:eastAsia="Times New Roman" w:hAnsi="Times New Roman"/>
                <w:sz w:val="17"/>
                <w:szCs w:val="17"/>
                <w:b w:val="1"/>
                <w:bCs w:val="1"/>
                <w:color w:val="auto"/>
              </w:rPr>
              <w:t>2026</w:t>
            </w:r>
          </w:p>
        </w:tc>
        <w:tc>
          <w:tcPr>
            <w:tcW w:w="14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435"/>
              <w:spacing w:after="0"/>
              <w:rPr>
                <w:sz w:val="20"/>
                <w:szCs w:val="20"/>
                <w:color w:val="auto"/>
              </w:rPr>
            </w:pPr>
            <w:r>
              <w:rPr>
                <w:rFonts w:ascii="Times New Roman" w:cs="Times New Roman" w:eastAsia="Times New Roman" w:hAnsi="Times New Roman"/>
                <w:sz w:val="17"/>
                <w:szCs w:val="17"/>
                <w:b w:val="1"/>
                <w:bCs w:val="1"/>
                <w:color w:val="auto"/>
                <w:w w:val="99"/>
              </w:rPr>
              <w:t>2025</w:t>
            </w:r>
          </w:p>
        </w:tc>
        <w:tc>
          <w:tcPr>
            <w:tcW w:w="120" w:type="dxa"/>
            <w:vAlign w:val="bottom"/>
            <w:tcBorders>
              <w:bottom w:val="single" w:sz="8" w:color="CCEEFF"/>
            </w:tcBorders>
          </w:tcPr>
          <w:p>
            <w:pPr>
              <w:spacing w:after="0"/>
              <w:rPr>
                <w:sz w:val="19"/>
                <w:szCs w:val="19"/>
                <w:color w:val="auto"/>
              </w:rPr>
            </w:pPr>
          </w:p>
        </w:tc>
        <w:tc>
          <w:tcPr>
            <w:tcW w:w="1360" w:type="dxa"/>
            <w:vAlign w:val="bottom"/>
            <w:tcBorders>
              <w:bottom w:val="single" w:sz="8" w:color="auto"/>
            </w:tcBorders>
          </w:tcPr>
          <w:p>
            <w:pPr>
              <w:jc w:val="right"/>
              <w:ind w:right="415"/>
              <w:spacing w:after="0"/>
              <w:rPr>
                <w:sz w:val="20"/>
                <w:szCs w:val="20"/>
                <w:color w:val="auto"/>
              </w:rPr>
            </w:pPr>
            <w:r>
              <w:rPr>
                <w:rFonts w:ascii="Times New Roman" w:cs="Times New Roman" w:eastAsia="Times New Roman" w:hAnsi="Times New Roman"/>
                <w:sz w:val="17"/>
                <w:szCs w:val="17"/>
                <w:b w:val="1"/>
                <w:bCs w:val="1"/>
                <w:color w:val="auto"/>
              </w:rPr>
              <w:t>2026</w:t>
            </w:r>
          </w:p>
        </w:tc>
        <w:tc>
          <w:tcPr>
            <w:tcW w:w="12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415"/>
              <w:spacing w:after="0"/>
              <w:rPr>
                <w:sz w:val="20"/>
                <w:szCs w:val="20"/>
                <w:color w:val="auto"/>
              </w:rPr>
            </w:pPr>
            <w:r>
              <w:rPr>
                <w:rFonts w:ascii="Times New Roman" w:cs="Times New Roman" w:eastAsia="Times New Roman" w:hAnsi="Times New Roman"/>
                <w:sz w:val="17"/>
                <w:szCs w:val="17"/>
                <w:b w:val="1"/>
                <w:bCs w:val="1"/>
                <w:color w:val="auto"/>
                <w:w w:val="99"/>
              </w:rPr>
              <w:t>2025</w:t>
            </w:r>
          </w:p>
        </w:tc>
      </w:tr>
      <w:tr>
        <w:trPr>
          <w:trHeight w:val="223"/>
        </w:trPr>
        <w:tc>
          <w:tcPr>
            <w:tcW w:w="54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Aviation Segment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1,850.3</w:t>
            </w:r>
          </w:p>
        </w:tc>
        <w:tc>
          <w:tcPr>
            <w:tcW w:w="14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1,829.1</w:t>
            </w: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5,233.1</w:t>
            </w: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5,385.3</w:t>
            </w:r>
          </w:p>
        </w:tc>
      </w:tr>
      <w:tr>
        <w:trPr>
          <w:trHeight w:val="230"/>
        </w:trPr>
        <w:tc>
          <w:tcPr>
            <w:tcW w:w="5440" w:type="dxa"/>
            <w:vAlign w:val="bottom"/>
          </w:tcPr>
          <w:p>
            <w:pPr>
              <w:ind w:left="120"/>
              <w:spacing w:after="0" w:line="230" w:lineRule="exact"/>
              <w:rPr>
                <w:sz w:val="20"/>
                <w:szCs w:val="20"/>
                <w:color w:val="auto"/>
              </w:rPr>
            </w:pPr>
            <w:r>
              <w:rPr>
                <w:rFonts w:ascii="Times New Roman" w:cs="Times New Roman" w:eastAsia="Times New Roman" w:hAnsi="Times New Roman"/>
                <w:sz w:val="17"/>
                <w:szCs w:val="17"/>
                <w:color w:val="auto"/>
              </w:rPr>
              <w:t xml:space="preserve">Land Segment </w:t>
            </w:r>
            <w:r>
              <w:rPr>
                <w:rFonts w:ascii="Times New Roman" w:cs="Times New Roman" w:eastAsia="Times New Roman" w:hAnsi="Times New Roman"/>
                <w:sz w:val="22"/>
                <w:szCs w:val="22"/>
                <w:color w:val="auto"/>
                <w:vertAlign w:val="superscript"/>
              </w:rPr>
              <w:t>(1)</w:t>
            </w:r>
          </w:p>
        </w:tc>
        <w:tc>
          <w:tcPr>
            <w:tcW w:w="1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1,204.3</w:t>
            </w:r>
          </w:p>
        </w:tc>
        <w:tc>
          <w:tcPr>
            <w:tcW w:w="1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1,382.5</w:t>
            </w:r>
          </w:p>
        </w:tc>
        <w:tc>
          <w:tcPr>
            <w:tcW w:w="12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3,789.7</w:t>
            </w:r>
          </w:p>
        </w:tc>
        <w:tc>
          <w:tcPr>
            <w:tcW w:w="1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4,220.0</w:t>
            </w:r>
          </w:p>
        </w:tc>
      </w:tr>
      <w:tr>
        <w:trPr>
          <w:trHeight w:val="230"/>
        </w:trPr>
        <w:tc>
          <w:tcPr>
            <w:tcW w:w="5440" w:type="dxa"/>
            <w:vAlign w:val="bottom"/>
            <w:shd w:val="clear" w:color="auto" w:fill="CCEEFF"/>
          </w:tcPr>
          <w:p>
            <w:pPr>
              <w:ind w:left="120"/>
              <w:spacing w:after="0" w:line="230" w:lineRule="exact"/>
              <w:rPr>
                <w:sz w:val="20"/>
                <w:szCs w:val="20"/>
                <w:color w:val="auto"/>
              </w:rPr>
            </w:pPr>
            <w:r>
              <w:rPr>
                <w:rFonts w:ascii="Times New Roman" w:cs="Times New Roman" w:eastAsia="Times New Roman" w:hAnsi="Times New Roman"/>
                <w:sz w:val="17"/>
                <w:szCs w:val="17"/>
                <w:color w:val="auto"/>
              </w:rPr>
              <w:t xml:space="preserve">Marine Segment </w:t>
            </w:r>
            <w:r>
              <w:rPr>
                <w:rFonts w:ascii="Times New Roman" w:cs="Times New Roman" w:eastAsia="Times New Roman" w:hAnsi="Times New Roman"/>
                <w:sz w:val="22"/>
                <w:szCs w:val="22"/>
                <w:color w:val="auto"/>
                <w:vertAlign w:val="superscript"/>
              </w:rPr>
              <w:t>(2)</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983.3</w:t>
            </w:r>
          </w:p>
        </w:tc>
        <w:tc>
          <w:tcPr>
            <w:tcW w:w="140" w:type="dxa"/>
            <w:vAlign w:val="bottom"/>
            <w:shd w:val="clear" w:color="auto" w:fill="CCEEFF"/>
          </w:tcPr>
          <w:p>
            <w:pPr>
              <w:spacing w:after="0"/>
              <w:rPr>
                <w:sz w:val="20"/>
                <w:szCs w:val="20"/>
                <w:color w:val="auto"/>
              </w:rPr>
            </w:pPr>
          </w:p>
        </w:tc>
        <w:tc>
          <w:tcPr>
            <w:tcW w:w="480" w:type="dxa"/>
            <w:vAlign w:val="bottom"/>
            <w:tcBorders>
              <w:bottom w:val="single" w:sz="8" w:color="auto"/>
            </w:tcBorders>
            <w:shd w:val="clear" w:color="auto" w:fill="CCEEFF"/>
          </w:tcPr>
          <w:p>
            <w:pPr>
              <w:spacing w:after="0"/>
              <w:rPr>
                <w:sz w:val="20"/>
                <w:szCs w:val="20"/>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1,071.4</w:t>
            </w:r>
          </w:p>
        </w:tc>
        <w:tc>
          <w:tcPr>
            <w:tcW w:w="120" w:type="dxa"/>
            <w:vAlign w:val="bottom"/>
            <w:shd w:val="clear" w:color="auto" w:fill="CCEEFF"/>
          </w:tcPr>
          <w:p>
            <w:pPr>
              <w:spacing w:after="0"/>
              <w:rPr>
                <w:sz w:val="20"/>
                <w:szCs w:val="20"/>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2,919.7</w:t>
            </w:r>
          </w:p>
        </w:tc>
        <w:tc>
          <w:tcPr>
            <w:tcW w:w="120" w:type="dxa"/>
            <w:vAlign w:val="bottom"/>
            <w:shd w:val="clear" w:color="auto" w:fill="CCEEFF"/>
          </w:tcPr>
          <w:p>
            <w:pPr>
              <w:spacing w:after="0"/>
              <w:rPr>
                <w:sz w:val="20"/>
                <w:szCs w:val="20"/>
                <w:color w:val="auto"/>
              </w:rPr>
            </w:pPr>
          </w:p>
        </w:tc>
        <w:tc>
          <w:tcPr>
            <w:tcW w:w="500" w:type="dxa"/>
            <w:vAlign w:val="bottom"/>
            <w:tcBorders>
              <w:bottom w:val="single" w:sz="8" w:color="auto"/>
            </w:tcBorders>
            <w:shd w:val="clear" w:color="auto" w:fill="CCEEFF"/>
          </w:tcPr>
          <w:p>
            <w:pPr>
              <w:spacing w:after="0"/>
              <w:rPr>
                <w:sz w:val="20"/>
                <w:szCs w:val="20"/>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3,074.4</w:t>
            </w:r>
          </w:p>
        </w:tc>
      </w:tr>
      <w:tr>
        <w:trPr>
          <w:trHeight w:val="223"/>
        </w:trPr>
        <w:tc>
          <w:tcPr>
            <w:tcW w:w="544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Consolidated Total</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4,037.9</w:t>
            </w:r>
          </w:p>
        </w:tc>
        <w:tc>
          <w:tcPr>
            <w:tcW w:w="140" w:type="dxa"/>
            <w:vAlign w:val="bottom"/>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4,282.9</w:t>
            </w:r>
          </w:p>
        </w:tc>
        <w:tc>
          <w:tcPr>
            <w:tcW w:w="120" w:type="dxa"/>
            <w:vAlign w:val="bottom"/>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11,942.5</w:t>
            </w:r>
          </w:p>
        </w:tc>
        <w:tc>
          <w:tcPr>
            <w:tcW w:w="120" w:type="dxa"/>
            <w:vAlign w:val="bottom"/>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12,679.7</w:t>
            </w:r>
          </w:p>
        </w:tc>
      </w:tr>
      <w:tr>
        <w:trPr>
          <w:trHeight w:val="20"/>
        </w:trPr>
        <w:tc>
          <w:tcPr>
            <w:tcW w:w="544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234" w:lineRule="exact"/>
        <w:rPr>
          <w:sz w:val="20"/>
          <w:szCs w:val="20"/>
          <w:color w:val="auto"/>
        </w:rPr>
      </w:pPr>
    </w:p>
    <w:p>
      <w:pPr>
        <w:ind w:left="300" w:hanging="298"/>
        <w:spacing w:after="0"/>
        <w:tabs>
          <w:tab w:leader="none" w:pos="300" w:val="left"/>
        </w:tabs>
        <w:numPr>
          <w:ilvl w:val="0"/>
          <w:numId w:val="11"/>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Includes gallons and gallon equivalents of British Thermal Units (BTU) for our natural gas sales and Kilowatt Hours (kWh) for our power business.</w:t>
      </w:r>
    </w:p>
    <w:p>
      <w:pPr>
        <w:spacing w:after="0" w:line="85" w:lineRule="exact"/>
        <w:rPr>
          <w:rFonts w:ascii="Times New Roman" w:cs="Times New Roman" w:eastAsia="Times New Roman" w:hAnsi="Times New Roman"/>
          <w:sz w:val="22"/>
          <w:szCs w:val="22"/>
          <w:color w:val="auto"/>
          <w:vertAlign w:val="superscript"/>
        </w:rPr>
      </w:pPr>
    </w:p>
    <w:p>
      <w:pPr>
        <w:ind w:left="300" w:hanging="298"/>
        <w:spacing w:after="0" w:line="228" w:lineRule="auto"/>
        <w:tabs>
          <w:tab w:leader="none" w:pos="288" w:val="left"/>
        </w:tabs>
        <w:numPr>
          <w:ilvl w:val="0"/>
          <w:numId w:val="11"/>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Converted from metric tons to gallons at a rate of 264 gallons per metric ton. Marine segment metric tons were 3.7 and 4.1 for the three months ended September 30, 2026 and 2025, respectively; and 11.1 and 11.6 for the nine months ended September 30, 2026 and 2025, respectively.</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9</w:t>
      </w:r>
    </w:p>
    <w:p>
      <w:pPr>
        <w:sectPr>
          <w:pgSz w:w="11900" w:h="16838" w:orient="portrait"/>
          <w:cols w:equalWidth="0" w:num="1">
            <w:col w:w="11240"/>
          </w:cols>
          <w:pgMar w:left="320" w:top="1440" w:right="339" w:bottom="1440" w:gutter="0" w:footer="0" w:header="0"/>
        </w:sectPr>
      </w:pPr>
    </w:p>
    <w:bookmarkStart w:id="12" w:name="page13"/>
    <w:bookmarkEnd w:id="12"/>
    <w:p>
      <w:pPr>
        <w:jc w:val="center"/>
        <w:spacing w:after="0"/>
        <w:rPr>
          <w:sz w:val="20"/>
          <w:szCs w:val="20"/>
          <w:color w:val="auto"/>
        </w:rPr>
      </w:pPr>
      <w:r>
        <w:rPr>
          <w:rFonts w:ascii="Times New Roman" w:cs="Times New Roman" w:eastAsia="Times New Roman" w:hAnsi="Times New Roman"/>
          <w:sz w:val="17"/>
          <w:szCs w:val="17"/>
          <w:b w:val="1"/>
          <w:bCs w:val="1"/>
          <w:color w:val="auto"/>
        </w:rPr>
        <w:t>WORLD KINECT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RECONCILIATION OF GAAP TO NON-GAAP FINANCIAL MEASURES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(Unaudited - In millions, except per share data)</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29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060" w:type="dxa"/>
            <w:vAlign w:val="bottom"/>
            <w:gridSpan w:val="12"/>
          </w:tcPr>
          <w:p>
            <w:pPr>
              <w:ind w:left="280"/>
              <w:spacing w:after="0"/>
              <w:rPr>
                <w:sz w:val="20"/>
                <w:szCs w:val="20"/>
                <w:color w:val="auto"/>
              </w:rPr>
            </w:pPr>
            <w:r>
              <w:rPr>
                <w:rFonts w:ascii="Times New Roman" w:cs="Times New Roman" w:eastAsia="Times New Roman" w:hAnsi="Times New Roman"/>
                <w:sz w:val="17"/>
                <w:szCs w:val="17"/>
                <w:b w:val="1"/>
                <w:bCs w:val="1"/>
                <w:color w:val="auto"/>
              </w:rPr>
              <w:t>For the Three Months Ended September 30,</w:t>
            </w:r>
          </w:p>
        </w:tc>
        <w:tc>
          <w:tcPr>
            <w:tcW w:w="160" w:type="dxa"/>
            <w:vAlign w:val="bottom"/>
          </w:tcPr>
          <w:p>
            <w:pPr>
              <w:spacing w:after="0"/>
              <w:rPr>
                <w:sz w:val="19"/>
                <w:szCs w:val="19"/>
                <w:color w:val="auto"/>
              </w:rPr>
            </w:pPr>
          </w:p>
        </w:tc>
        <w:tc>
          <w:tcPr>
            <w:tcW w:w="3940" w:type="dxa"/>
            <w:vAlign w:val="bottom"/>
            <w:gridSpan w:val="10"/>
          </w:tcPr>
          <w:p>
            <w:pPr>
              <w:jc w:val="right"/>
              <w:ind w:right="395"/>
              <w:spacing w:after="0"/>
              <w:rPr>
                <w:sz w:val="20"/>
                <w:szCs w:val="20"/>
                <w:color w:val="auto"/>
              </w:rPr>
            </w:pPr>
            <w:r>
              <w:rPr>
                <w:rFonts w:ascii="Times New Roman" w:cs="Times New Roman" w:eastAsia="Times New Roman" w:hAnsi="Times New Roman"/>
                <w:sz w:val="17"/>
                <w:szCs w:val="17"/>
                <w:b w:val="1"/>
                <w:bCs w:val="1"/>
                <w:color w:val="auto"/>
              </w:rPr>
              <w:t>For the Nine Months Ended September 30,</w:t>
            </w:r>
          </w:p>
        </w:tc>
        <w:tc>
          <w:tcPr>
            <w:tcW w:w="0" w:type="dxa"/>
            <w:vAlign w:val="bottom"/>
          </w:tcPr>
          <w:p>
            <w:pPr>
              <w:spacing w:after="0"/>
              <w:rPr>
                <w:sz w:val="1"/>
                <w:szCs w:val="1"/>
                <w:color w:val="auto"/>
              </w:rPr>
            </w:pPr>
          </w:p>
        </w:tc>
      </w:tr>
      <w:tr>
        <w:trPr>
          <w:trHeight w:val="223"/>
        </w:trPr>
        <w:tc>
          <w:tcPr>
            <w:tcW w:w="290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gridSpan w:val="3"/>
          </w:tcPr>
          <w:p>
            <w:pPr>
              <w:jc w:val="right"/>
              <w:spacing w:after="0"/>
              <w:rPr>
                <w:sz w:val="20"/>
                <w:szCs w:val="20"/>
                <w:color w:val="auto"/>
              </w:rPr>
            </w:pPr>
            <w:r>
              <w:rPr>
                <w:rFonts w:ascii="Times New Roman" w:cs="Times New Roman" w:eastAsia="Times New Roman" w:hAnsi="Times New Roman"/>
                <w:sz w:val="17"/>
                <w:szCs w:val="17"/>
                <w:b w:val="1"/>
                <w:bCs w:val="1"/>
                <w:color w:val="auto"/>
              </w:rPr>
              <w:t>2026</w:t>
            </w:r>
          </w:p>
        </w:tc>
        <w:tc>
          <w:tcPr>
            <w:tcW w:w="440" w:type="dxa"/>
            <w:vAlign w:val="bottom"/>
            <w:tcBorders>
              <w:top w:val="single" w:sz="8" w:color="auto"/>
              <w:bottom w:val="single" w:sz="8" w:color="auto"/>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gridSpan w:val="3"/>
          </w:tcPr>
          <w:p>
            <w:pPr>
              <w:jc w:val="right"/>
              <w:spacing w:after="0"/>
              <w:rPr>
                <w:sz w:val="20"/>
                <w:szCs w:val="20"/>
                <w:color w:val="auto"/>
              </w:rPr>
            </w:pPr>
            <w:r>
              <w:rPr>
                <w:rFonts w:ascii="Times New Roman" w:cs="Times New Roman" w:eastAsia="Times New Roman" w:hAnsi="Times New Roman"/>
                <w:sz w:val="17"/>
                <w:szCs w:val="17"/>
                <w:b w:val="1"/>
                <w:bCs w:val="1"/>
                <w:color w:val="auto"/>
              </w:rPr>
              <w:t>2025</w:t>
            </w:r>
          </w:p>
        </w:tc>
        <w:tc>
          <w:tcPr>
            <w:tcW w:w="780" w:type="dxa"/>
            <w:vAlign w:val="bottom"/>
            <w:tcBorders>
              <w:top w:val="single" w:sz="8" w:color="auto"/>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gridSpan w:val="3"/>
          </w:tcPr>
          <w:p>
            <w:pPr>
              <w:jc w:val="right"/>
              <w:spacing w:after="0"/>
              <w:rPr>
                <w:sz w:val="20"/>
                <w:szCs w:val="20"/>
                <w:color w:val="auto"/>
              </w:rPr>
            </w:pPr>
            <w:r>
              <w:rPr>
                <w:rFonts w:ascii="Times New Roman" w:cs="Times New Roman" w:eastAsia="Times New Roman" w:hAnsi="Times New Roman"/>
                <w:sz w:val="17"/>
                <w:szCs w:val="17"/>
                <w:b w:val="1"/>
                <w:bCs w:val="1"/>
                <w:color w:val="auto"/>
              </w:rPr>
              <w:t>2026</w:t>
            </w:r>
          </w:p>
        </w:tc>
        <w:tc>
          <w:tcPr>
            <w:tcW w:w="780" w:type="dxa"/>
            <w:vAlign w:val="bottom"/>
            <w:tcBorders>
              <w:top w:val="single" w:sz="8" w:color="auto"/>
              <w:bottom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gridSpan w:val="3"/>
          </w:tcPr>
          <w:p>
            <w:pPr>
              <w:jc w:val="right"/>
              <w:spacing w:after="0"/>
              <w:rPr>
                <w:sz w:val="20"/>
                <w:szCs w:val="20"/>
                <w:color w:val="auto"/>
              </w:rPr>
            </w:pPr>
            <w:r>
              <w:rPr>
                <w:rFonts w:ascii="Times New Roman" w:cs="Times New Roman" w:eastAsia="Times New Roman" w:hAnsi="Times New Roman"/>
                <w:sz w:val="17"/>
                <w:szCs w:val="17"/>
                <w:b w:val="1"/>
                <w:bCs w:val="1"/>
                <w:color w:val="auto"/>
              </w:rPr>
              <w:t>2025</w:t>
            </w:r>
          </w:p>
        </w:tc>
        <w:tc>
          <w:tcPr>
            <w:tcW w:w="780" w:type="dxa"/>
            <w:vAlign w:val="bottom"/>
            <w:tcBorders>
              <w:top w:val="single" w:sz="8" w:color="auto"/>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62"/>
        </w:trPr>
        <w:tc>
          <w:tcPr>
            <w:tcW w:w="2900" w:type="dxa"/>
            <w:vAlign w:val="bottom"/>
          </w:tcPr>
          <w:p>
            <w:pPr>
              <w:spacing w:after="0"/>
              <w:rPr>
                <w:sz w:val="22"/>
                <w:szCs w:val="22"/>
                <w:color w:val="auto"/>
              </w:rPr>
            </w:pPr>
          </w:p>
        </w:tc>
        <w:tc>
          <w:tcPr>
            <w:tcW w:w="1060" w:type="dxa"/>
            <w:vAlign w:val="bottom"/>
            <w:gridSpan w:val="3"/>
            <w:vMerge w:val="restart"/>
          </w:tcPr>
          <w:p>
            <w:pPr>
              <w:jc w:val="center"/>
              <w:ind w:right="120"/>
              <w:spacing w:after="0"/>
              <w:rPr>
                <w:sz w:val="20"/>
                <w:szCs w:val="20"/>
                <w:color w:val="auto"/>
              </w:rPr>
            </w:pPr>
            <w:r>
              <w:rPr>
                <w:rFonts w:ascii="Times New Roman" w:cs="Times New Roman" w:eastAsia="Times New Roman" w:hAnsi="Times New Roman"/>
                <w:sz w:val="17"/>
                <w:szCs w:val="17"/>
                <w:color w:val="auto"/>
              </w:rPr>
              <w:t>Net Income</w:t>
            </w:r>
          </w:p>
        </w:tc>
        <w:tc>
          <w:tcPr>
            <w:tcW w:w="160" w:type="dxa"/>
            <w:vAlign w:val="bottom"/>
          </w:tcPr>
          <w:p>
            <w:pPr>
              <w:spacing w:after="0"/>
              <w:rPr>
                <w:sz w:val="22"/>
                <w:szCs w:val="22"/>
                <w:color w:val="auto"/>
              </w:rPr>
            </w:pPr>
          </w:p>
        </w:tc>
        <w:tc>
          <w:tcPr>
            <w:tcW w:w="90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auto"/>
              </w:rPr>
              <w:t>Diluted</w:t>
            </w:r>
          </w:p>
        </w:tc>
        <w:tc>
          <w:tcPr>
            <w:tcW w:w="1060" w:type="dxa"/>
            <w:vAlign w:val="bottom"/>
            <w:gridSpan w:val="3"/>
            <w:vMerge w:val="restart"/>
          </w:tcPr>
          <w:p>
            <w:pPr>
              <w:jc w:val="center"/>
              <w:ind w:right="140"/>
              <w:spacing w:after="0"/>
              <w:rPr>
                <w:sz w:val="20"/>
                <w:szCs w:val="20"/>
                <w:color w:val="auto"/>
              </w:rPr>
            </w:pPr>
            <w:r>
              <w:rPr>
                <w:rFonts w:ascii="Times New Roman" w:cs="Times New Roman" w:eastAsia="Times New Roman" w:hAnsi="Times New Roman"/>
                <w:sz w:val="17"/>
                <w:szCs w:val="17"/>
                <w:color w:val="auto"/>
              </w:rPr>
              <w:t>Net Income</w:t>
            </w:r>
          </w:p>
        </w:tc>
        <w:tc>
          <w:tcPr>
            <w:tcW w:w="140" w:type="dxa"/>
            <w:vAlign w:val="bottom"/>
          </w:tcPr>
          <w:p>
            <w:pPr>
              <w:spacing w:after="0"/>
              <w:rPr>
                <w:sz w:val="22"/>
                <w:szCs w:val="22"/>
                <w:color w:val="auto"/>
              </w:rPr>
            </w:pPr>
          </w:p>
        </w:tc>
        <w:tc>
          <w:tcPr>
            <w:tcW w:w="92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7"/>
                <w:szCs w:val="17"/>
                <w:color w:val="auto"/>
              </w:rPr>
              <w:t>Diluted</w:t>
            </w:r>
          </w:p>
        </w:tc>
        <w:tc>
          <w:tcPr>
            <w:tcW w:w="1040" w:type="dxa"/>
            <w:vAlign w:val="bottom"/>
            <w:gridSpan w:val="3"/>
            <w:vMerge w:val="restart"/>
          </w:tcPr>
          <w:p>
            <w:pPr>
              <w:jc w:val="center"/>
              <w:ind w:right="120"/>
              <w:spacing w:after="0"/>
              <w:rPr>
                <w:sz w:val="20"/>
                <w:szCs w:val="20"/>
                <w:color w:val="auto"/>
              </w:rPr>
            </w:pPr>
            <w:r>
              <w:rPr>
                <w:rFonts w:ascii="Times New Roman" w:cs="Times New Roman" w:eastAsia="Times New Roman" w:hAnsi="Times New Roman"/>
                <w:sz w:val="17"/>
                <w:szCs w:val="17"/>
                <w:color w:val="auto"/>
              </w:rPr>
              <w:t>Net Income</w:t>
            </w:r>
          </w:p>
        </w:tc>
        <w:tc>
          <w:tcPr>
            <w:tcW w:w="160" w:type="dxa"/>
            <w:vAlign w:val="bottom"/>
          </w:tcPr>
          <w:p>
            <w:pPr>
              <w:spacing w:after="0"/>
              <w:rPr>
                <w:sz w:val="22"/>
                <w:szCs w:val="22"/>
                <w:color w:val="auto"/>
              </w:rPr>
            </w:pPr>
          </w:p>
        </w:tc>
        <w:tc>
          <w:tcPr>
            <w:tcW w:w="90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7"/>
                <w:szCs w:val="17"/>
                <w:color w:val="auto"/>
                <w:w w:val="97"/>
              </w:rPr>
              <w:t>Diluted</w:t>
            </w:r>
          </w:p>
        </w:tc>
        <w:tc>
          <w:tcPr>
            <w:tcW w:w="1080" w:type="dxa"/>
            <w:vAlign w:val="bottom"/>
            <w:gridSpan w:val="3"/>
            <w:vMerge w:val="restart"/>
          </w:tcPr>
          <w:p>
            <w:pPr>
              <w:jc w:val="center"/>
              <w:ind w:right="120"/>
              <w:spacing w:after="0"/>
              <w:rPr>
                <w:sz w:val="20"/>
                <w:szCs w:val="20"/>
                <w:color w:val="auto"/>
              </w:rPr>
            </w:pPr>
            <w:r>
              <w:rPr>
                <w:rFonts w:ascii="Times New Roman" w:cs="Times New Roman" w:eastAsia="Times New Roman" w:hAnsi="Times New Roman"/>
                <w:sz w:val="17"/>
                <w:szCs w:val="17"/>
                <w:color w:val="auto"/>
              </w:rPr>
              <w:t>Net Income</w:t>
            </w:r>
          </w:p>
        </w:tc>
        <w:tc>
          <w:tcPr>
            <w:tcW w:w="140" w:type="dxa"/>
            <w:vAlign w:val="bottom"/>
          </w:tcPr>
          <w:p>
            <w:pPr>
              <w:spacing w:after="0"/>
              <w:rPr>
                <w:sz w:val="22"/>
                <w:szCs w:val="22"/>
                <w:color w:val="auto"/>
              </w:rPr>
            </w:pPr>
          </w:p>
        </w:tc>
        <w:tc>
          <w:tcPr>
            <w:tcW w:w="780" w:type="dxa"/>
            <w:vAlign w:val="bottom"/>
            <w:vMerge w:val="restart"/>
          </w:tcPr>
          <w:p>
            <w:pPr>
              <w:jc w:val="center"/>
              <w:ind w:right="55"/>
              <w:spacing w:after="0"/>
              <w:rPr>
                <w:sz w:val="20"/>
                <w:szCs w:val="20"/>
                <w:color w:val="auto"/>
              </w:rPr>
            </w:pPr>
            <w:r>
              <w:rPr>
                <w:rFonts w:ascii="Times New Roman" w:cs="Times New Roman" w:eastAsia="Times New Roman" w:hAnsi="Times New Roman"/>
                <w:sz w:val="17"/>
                <w:szCs w:val="17"/>
                <w:color w:val="auto"/>
              </w:rPr>
              <w:t>Diluted</w:t>
            </w:r>
          </w:p>
        </w:tc>
        <w:tc>
          <w:tcPr>
            <w:tcW w:w="0" w:type="dxa"/>
            <w:vAlign w:val="bottom"/>
          </w:tcPr>
          <w:p>
            <w:pPr>
              <w:spacing w:after="0"/>
              <w:rPr>
                <w:sz w:val="1"/>
                <w:szCs w:val="1"/>
                <w:color w:val="auto"/>
              </w:rPr>
            </w:pPr>
          </w:p>
        </w:tc>
      </w:tr>
      <w:tr>
        <w:trPr>
          <w:trHeight w:val="90"/>
        </w:trPr>
        <w:tc>
          <w:tcPr>
            <w:tcW w:w="2900" w:type="dxa"/>
            <w:vAlign w:val="bottom"/>
          </w:tcPr>
          <w:p>
            <w:pPr>
              <w:spacing w:after="0"/>
              <w:rPr>
                <w:sz w:val="7"/>
                <w:szCs w:val="7"/>
                <w:color w:val="auto"/>
              </w:rPr>
            </w:pPr>
          </w:p>
        </w:tc>
        <w:tc>
          <w:tcPr>
            <w:tcW w:w="1060" w:type="dxa"/>
            <w:vAlign w:val="bottom"/>
            <w:gridSpan w:val="3"/>
            <w:vMerge w:val="continue"/>
          </w:tcPr>
          <w:p>
            <w:pPr>
              <w:spacing w:after="0"/>
              <w:rPr>
                <w:sz w:val="7"/>
                <w:szCs w:val="7"/>
                <w:color w:val="auto"/>
              </w:rPr>
            </w:pPr>
          </w:p>
        </w:tc>
        <w:tc>
          <w:tcPr>
            <w:tcW w:w="1060" w:type="dxa"/>
            <w:vAlign w:val="bottom"/>
            <w:gridSpan w:val="4"/>
            <w:vMerge w:val="restart"/>
          </w:tcPr>
          <w:p>
            <w:pPr>
              <w:ind w:left="40"/>
              <w:spacing w:after="0" w:line="171" w:lineRule="exact"/>
              <w:rPr>
                <w:sz w:val="20"/>
                <w:szCs w:val="20"/>
                <w:color w:val="auto"/>
              </w:rPr>
            </w:pPr>
            <w:r>
              <w:rPr>
                <w:rFonts w:ascii="Times New Roman" w:cs="Times New Roman" w:eastAsia="Times New Roman" w:hAnsi="Times New Roman"/>
                <w:sz w:val="17"/>
                <w:szCs w:val="17"/>
                <w:color w:val="auto"/>
              </w:rPr>
              <w:t>Earnings per</w:t>
            </w:r>
          </w:p>
        </w:tc>
        <w:tc>
          <w:tcPr>
            <w:tcW w:w="1060" w:type="dxa"/>
            <w:vAlign w:val="bottom"/>
            <w:gridSpan w:val="3"/>
            <w:vMerge w:val="continue"/>
          </w:tcPr>
          <w:p>
            <w:pPr>
              <w:spacing w:after="0"/>
              <w:rPr>
                <w:sz w:val="7"/>
                <w:szCs w:val="7"/>
                <w:color w:val="auto"/>
              </w:rPr>
            </w:pPr>
          </w:p>
        </w:tc>
        <w:tc>
          <w:tcPr>
            <w:tcW w:w="140" w:type="dxa"/>
            <w:vAlign w:val="bottom"/>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1040" w:type="dxa"/>
            <w:vAlign w:val="bottom"/>
            <w:gridSpan w:val="3"/>
            <w:vMerge w:val="continue"/>
          </w:tcPr>
          <w:p>
            <w:pPr>
              <w:spacing w:after="0"/>
              <w:rPr>
                <w:sz w:val="7"/>
                <w:szCs w:val="7"/>
                <w:color w:val="auto"/>
              </w:rPr>
            </w:pPr>
          </w:p>
        </w:tc>
        <w:tc>
          <w:tcPr>
            <w:tcW w:w="160" w:type="dxa"/>
            <w:vAlign w:val="bottom"/>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1080" w:type="dxa"/>
            <w:vAlign w:val="bottom"/>
            <w:gridSpan w:val="3"/>
            <w:vMerge w:val="continue"/>
          </w:tcPr>
          <w:p>
            <w:pPr>
              <w:spacing w:after="0"/>
              <w:rPr>
                <w:sz w:val="7"/>
                <w:szCs w:val="7"/>
                <w:color w:val="auto"/>
              </w:rPr>
            </w:pPr>
          </w:p>
        </w:tc>
        <w:tc>
          <w:tcPr>
            <w:tcW w:w="14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2900" w:type="dxa"/>
            <w:vAlign w:val="bottom"/>
            <w:vMerge w:val="restart"/>
          </w:tcPr>
          <w:p>
            <w:pPr>
              <w:ind w:left="20"/>
              <w:spacing w:after="0" w:line="167" w:lineRule="exact"/>
              <w:rPr>
                <w:sz w:val="20"/>
                <w:szCs w:val="20"/>
                <w:color w:val="auto"/>
              </w:rPr>
            </w:pPr>
            <w:r>
              <w:rPr>
                <w:rFonts w:ascii="Times New Roman" w:cs="Times New Roman" w:eastAsia="Times New Roman" w:hAnsi="Times New Roman"/>
                <w:sz w:val="17"/>
                <w:szCs w:val="17"/>
                <w:b w:val="1"/>
                <w:bCs w:val="1"/>
                <w:color w:val="auto"/>
              </w:rPr>
              <w:t>Reconciliation of GAAP to non-</w:t>
            </w:r>
          </w:p>
        </w:tc>
        <w:tc>
          <w:tcPr>
            <w:tcW w:w="180" w:type="dxa"/>
            <w:vAlign w:val="bottom"/>
          </w:tcPr>
          <w:p>
            <w:pPr>
              <w:spacing w:after="0"/>
              <w:rPr>
                <w:sz w:val="7"/>
                <w:szCs w:val="7"/>
                <w:color w:val="auto"/>
              </w:rPr>
            </w:pPr>
          </w:p>
        </w:tc>
        <w:tc>
          <w:tcPr>
            <w:tcW w:w="880" w:type="dxa"/>
            <w:vAlign w:val="bottom"/>
            <w:gridSpan w:val="2"/>
            <w:vMerge w:val="restart"/>
          </w:tcPr>
          <w:p>
            <w:pPr>
              <w:jc w:val="center"/>
              <w:ind w:right="300"/>
              <w:spacing w:after="0" w:line="167" w:lineRule="exact"/>
              <w:rPr>
                <w:sz w:val="20"/>
                <w:szCs w:val="20"/>
                <w:color w:val="auto"/>
              </w:rPr>
            </w:pPr>
            <w:r>
              <w:rPr>
                <w:rFonts w:ascii="Times New Roman" w:cs="Times New Roman" w:eastAsia="Times New Roman" w:hAnsi="Times New Roman"/>
                <w:sz w:val="17"/>
                <w:szCs w:val="17"/>
                <w:color w:val="auto"/>
                <w:w w:val="96"/>
              </w:rPr>
              <w:t>(Loss)</w:t>
            </w:r>
          </w:p>
        </w:tc>
        <w:tc>
          <w:tcPr>
            <w:tcW w:w="1060" w:type="dxa"/>
            <w:vAlign w:val="bottom"/>
            <w:gridSpan w:val="4"/>
            <w:vMerge w:val="continue"/>
          </w:tcPr>
          <w:p>
            <w:pPr>
              <w:spacing w:after="0"/>
              <w:rPr>
                <w:sz w:val="7"/>
                <w:szCs w:val="7"/>
                <w:color w:val="auto"/>
              </w:rPr>
            </w:pPr>
          </w:p>
        </w:tc>
        <w:tc>
          <w:tcPr>
            <w:tcW w:w="180" w:type="dxa"/>
            <w:vAlign w:val="bottom"/>
          </w:tcPr>
          <w:p>
            <w:pPr>
              <w:spacing w:after="0"/>
              <w:rPr>
                <w:sz w:val="7"/>
                <w:szCs w:val="7"/>
                <w:color w:val="auto"/>
              </w:rPr>
            </w:pPr>
          </w:p>
        </w:tc>
        <w:tc>
          <w:tcPr>
            <w:tcW w:w="880" w:type="dxa"/>
            <w:vAlign w:val="bottom"/>
            <w:gridSpan w:val="2"/>
            <w:vMerge w:val="restart"/>
          </w:tcPr>
          <w:p>
            <w:pPr>
              <w:jc w:val="center"/>
              <w:ind w:right="320"/>
              <w:spacing w:after="0" w:line="167" w:lineRule="exact"/>
              <w:rPr>
                <w:sz w:val="20"/>
                <w:szCs w:val="20"/>
                <w:color w:val="auto"/>
              </w:rPr>
            </w:pPr>
            <w:r>
              <w:rPr>
                <w:rFonts w:ascii="Times New Roman" w:cs="Times New Roman" w:eastAsia="Times New Roman" w:hAnsi="Times New Roman"/>
                <w:sz w:val="17"/>
                <w:szCs w:val="17"/>
                <w:color w:val="auto"/>
              </w:rPr>
              <w:t>(Loss)</w:t>
            </w:r>
          </w:p>
        </w:tc>
        <w:tc>
          <w:tcPr>
            <w:tcW w:w="1060" w:type="dxa"/>
            <w:vAlign w:val="bottom"/>
            <w:gridSpan w:val="3"/>
            <w:vMerge w:val="restart"/>
          </w:tcPr>
          <w:p>
            <w:pPr>
              <w:jc w:val="center"/>
              <w:ind w:right="140"/>
              <w:spacing w:after="0" w:line="167" w:lineRule="exact"/>
              <w:rPr>
                <w:sz w:val="20"/>
                <w:szCs w:val="20"/>
                <w:color w:val="auto"/>
              </w:rPr>
            </w:pPr>
            <w:r>
              <w:rPr>
                <w:rFonts w:ascii="Times New Roman" w:cs="Times New Roman" w:eastAsia="Times New Roman" w:hAnsi="Times New Roman"/>
                <w:sz w:val="17"/>
                <w:szCs w:val="17"/>
                <w:color w:val="auto"/>
              </w:rPr>
              <w:t>Earnings per</w:t>
            </w:r>
          </w:p>
        </w:tc>
        <w:tc>
          <w:tcPr>
            <w:tcW w:w="160" w:type="dxa"/>
            <w:vAlign w:val="bottom"/>
          </w:tcPr>
          <w:p>
            <w:pPr>
              <w:spacing w:after="0"/>
              <w:rPr>
                <w:sz w:val="7"/>
                <w:szCs w:val="7"/>
                <w:color w:val="auto"/>
              </w:rPr>
            </w:pPr>
          </w:p>
        </w:tc>
        <w:tc>
          <w:tcPr>
            <w:tcW w:w="880" w:type="dxa"/>
            <w:vAlign w:val="bottom"/>
            <w:gridSpan w:val="2"/>
            <w:vMerge w:val="restart"/>
          </w:tcPr>
          <w:p>
            <w:pPr>
              <w:jc w:val="center"/>
              <w:ind w:right="280"/>
              <w:spacing w:after="0" w:line="167" w:lineRule="exact"/>
              <w:rPr>
                <w:sz w:val="20"/>
                <w:szCs w:val="20"/>
                <w:color w:val="auto"/>
              </w:rPr>
            </w:pPr>
            <w:r>
              <w:rPr>
                <w:rFonts w:ascii="Times New Roman" w:cs="Times New Roman" w:eastAsia="Times New Roman" w:hAnsi="Times New Roman"/>
                <w:sz w:val="17"/>
                <w:szCs w:val="17"/>
                <w:color w:val="auto"/>
              </w:rPr>
              <w:t>(Loss)</w:t>
            </w:r>
          </w:p>
        </w:tc>
        <w:tc>
          <w:tcPr>
            <w:tcW w:w="1060" w:type="dxa"/>
            <w:vAlign w:val="bottom"/>
            <w:gridSpan w:val="3"/>
            <w:vMerge w:val="restart"/>
          </w:tcPr>
          <w:p>
            <w:pPr>
              <w:jc w:val="center"/>
              <w:ind w:right="120"/>
              <w:spacing w:after="0" w:line="167" w:lineRule="exact"/>
              <w:rPr>
                <w:sz w:val="20"/>
                <w:szCs w:val="20"/>
                <w:color w:val="auto"/>
              </w:rPr>
            </w:pPr>
            <w:r>
              <w:rPr>
                <w:rFonts w:ascii="Times New Roman" w:cs="Times New Roman" w:eastAsia="Times New Roman" w:hAnsi="Times New Roman"/>
                <w:sz w:val="17"/>
                <w:szCs w:val="17"/>
                <w:color w:val="auto"/>
                <w:w w:val="99"/>
              </w:rPr>
              <w:t>Earnings per</w:t>
            </w:r>
          </w:p>
        </w:tc>
        <w:tc>
          <w:tcPr>
            <w:tcW w:w="180" w:type="dxa"/>
            <w:vAlign w:val="bottom"/>
          </w:tcPr>
          <w:p>
            <w:pPr>
              <w:spacing w:after="0"/>
              <w:rPr>
                <w:sz w:val="7"/>
                <w:szCs w:val="7"/>
                <w:color w:val="auto"/>
              </w:rPr>
            </w:pPr>
          </w:p>
        </w:tc>
        <w:tc>
          <w:tcPr>
            <w:tcW w:w="900" w:type="dxa"/>
            <w:vAlign w:val="bottom"/>
            <w:gridSpan w:val="2"/>
            <w:vMerge w:val="restart"/>
          </w:tcPr>
          <w:p>
            <w:pPr>
              <w:jc w:val="center"/>
              <w:ind w:right="300"/>
              <w:spacing w:after="0" w:line="167" w:lineRule="exact"/>
              <w:rPr>
                <w:sz w:val="20"/>
                <w:szCs w:val="20"/>
                <w:color w:val="auto"/>
              </w:rPr>
            </w:pPr>
            <w:r>
              <w:rPr>
                <w:rFonts w:ascii="Times New Roman" w:cs="Times New Roman" w:eastAsia="Times New Roman" w:hAnsi="Times New Roman"/>
                <w:sz w:val="17"/>
                <w:szCs w:val="17"/>
                <w:color w:val="auto"/>
              </w:rPr>
              <w:t>(Loss)</w:t>
            </w:r>
          </w:p>
        </w:tc>
        <w:tc>
          <w:tcPr>
            <w:tcW w:w="920" w:type="dxa"/>
            <w:vAlign w:val="bottom"/>
            <w:gridSpan w:val="2"/>
            <w:vMerge w:val="restart"/>
          </w:tcPr>
          <w:p>
            <w:pPr>
              <w:jc w:val="center"/>
              <w:spacing w:after="0" w:line="167" w:lineRule="exact"/>
              <w:rPr>
                <w:sz w:val="20"/>
                <w:szCs w:val="20"/>
                <w:color w:val="auto"/>
              </w:rPr>
            </w:pPr>
            <w:r>
              <w:rPr>
                <w:rFonts w:ascii="Times New Roman" w:cs="Times New Roman" w:eastAsia="Times New Roman" w:hAnsi="Times New Roman"/>
                <w:sz w:val="17"/>
                <w:szCs w:val="17"/>
                <w:color w:val="auto"/>
              </w:rPr>
              <w:t>Earnings per</w:t>
            </w:r>
          </w:p>
        </w:tc>
        <w:tc>
          <w:tcPr>
            <w:tcW w:w="0" w:type="dxa"/>
            <w:vAlign w:val="bottom"/>
          </w:tcPr>
          <w:p>
            <w:pPr>
              <w:spacing w:after="0"/>
              <w:rPr>
                <w:sz w:val="1"/>
                <w:szCs w:val="1"/>
                <w:color w:val="auto"/>
              </w:rPr>
            </w:pPr>
          </w:p>
        </w:tc>
      </w:tr>
      <w:tr>
        <w:trPr>
          <w:trHeight w:val="85"/>
        </w:trPr>
        <w:tc>
          <w:tcPr>
            <w:tcW w:w="2900" w:type="dxa"/>
            <w:vAlign w:val="bottom"/>
            <w:vMerge w:val="continue"/>
          </w:tcPr>
          <w:p>
            <w:pPr>
              <w:spacing w:after="0"/>
              <w:rPr>
                <w:sz w:val="7"/>
                <w:szCs w:val="7"/>
                <w:color w:val="auto"/>
              </w:rPr>
            </w:pPr>
          </w:p>
        </w:tc>
        <w:tc>
          <w:tcPr>
            <w:tcW w:w="180" w:type="dxa"/>
            <w:vAlign w:val="bottom"/>
          </w:tcPr>
          <w:p>
            <w:pPr>
              <w:spacing w:after="0"/>
              <w:rPr>
                <w:sz w:val="7"/>
                <w:szCs w:val="7"/>
                <w:color w:val="auto"/>
              </w:rPr>
            </w:pPr>
          </w:p>
        </w:tc>
        <w:tc>
          <w:tcPr>
            <w:tcW w:w="880" w:type="dxa"/>
            <w:vAlign w:val="bottom"/>
            <w:gridSpan w:val="2"/>
            <w:vMerge w:val="continue"/>
          </w:tcPr>
          <w:p>
            <w:pPr>
              <w:spacing w:after="0"/>
              <w:rPr>
                <w:sz w:val="7"/>
                <w:szCs w:val="7"/>
                <w:color w:val="auto"/>
              </w:rPr>
            </w:pPr>
          </w:p>
        </w:tc>
        <w:tc>
          <w:tcPr>
            <w:tcW w:w="160" w:type="dxa"/>
            <w:vAlign w:val="bottom"/>
          </w:tcPr>
          <w:p>
            <w:pPr>
              <w:spacing w:after="0"/>
              <w:rPr>
                <w:sz w:val="7"/>
                <w:szCs w:val="7"/>
                <w:color w:val="auto"/>
              </w:rPr>
            </w:pPr>
          </w:p>
        </w:tc>
        <w:tc>
          <w:tcPr>
            <w:tcW w:w="44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auto"/>
                <w:w w:val="98"/>
              </w:rPr>
              <w:t>Share</w:t>
            </w:r>
          </w:p>
        </w:tc>
        <w:tc>
          <w:tcPr>
            <w:tcW w:w="340" w:type="dxa"/>
            <w:vAlign w:val="bottom"/>
          </w:tcPr>
          <w:p>
            <w:pPr>
              <w:jc w:val="right"/>
              <w:ind w:right="156"/>
              <w:spacing w:after="0" w:line="85" w:lineRule="exact"/>
              <w:rPr>
                <w:sz w:val="20"/>
                <w:szCs w:val="20"/>
                <w:color w:val="auto"/>
              </w:rPr>
            </w:pPr>
            <w:r>
              <w:rPr>
                <w:rFonts w:ascii="Times New Roman" w:cs="Times New Roman" w:eastAsia="Times New Roman" w:hAnsi="Times New Roman"/>
                <w:sz w:val="9"/>
                <w:szCs w:val="9"/>
                <w:color w:val="auto"/>
              </w:rPr>
              <w:t>(1)</w:t>
            </w:r>
          </w:p>
        </w:tc>
        <w:tc>
          <w:tcPr>
            <w:tcW w:w="120" w:type="dxa"/>
            <w:vAlign w:val="bottom"/>
          </w:tcPr>
          <w:p>
            <w:pPr>
              <w:spacing w:after="0"/>
              <w:rPr>
                <w:sz w:val="7"/>
                <w:szCs w:val="7"/>
                <w:color w:val="auto"/>
              </w:rPr>
            </w:pPr>
          </w:p>
        </w:tc>
        <w:tc>
          <w:tcPr>
            <w:tcW w:w="180" w:type="dxa"/>
            <w:vAlign w:val="bottom"/>
          </w:tcPr>
          <w:p>
            <w:pPr>
              <w:spacing w:after="0"/>
              <w:rPr>
                <w:sz w:val="7"/>
                <w:szCs w:val="7"/>
                <w:color w:val="auto"/>
              </w:rPr>
            </w:pPr>
          </w:p>
        </w:tc>
        <w:tc>
          <w:tcPr>
            <w:tcW w:w="880" w:type="dxa"/>
            <w:vAlign w:val="bottom"/>
            <w:gridSpan w:val="2"/>
            <w:vMerge w:val="continue"/>
          </w:tcPr>
          <w:p>
            <w:pPr>
              <w:spacing w:after="0"/>
              <w:rPr>
                <w:sz w:val="7"/>
                <w:szCs w:val="7"/>
                <w:color w:val="auto"/>
              </w:rPr>
            </w:pPr>
          </w:p>
        </w:tc>
        <w:tc>
          <w:tcPr>
            <w:tcW w:w="1060" w:type="dxa"/>
            <w:vAlign w:val="bottom"/>
            <w:gridSpan w:val="3"/>
            <w:vMerge w:val="continue"/>
          </w:tcPr>
          <w:p>
            <w:pPr>
              <w:spacing w:after="0"/>
              <w:rPr>
                <w:sz w:val="7"/>
                <w:szCs w:val="7"/>
                <w:color w:val="auto"/>
              </w:rPr>
            </w:pPr>
          </w:p>
        </w:tc>
        <w:tc>
          <w:tcPr>
            <w:tcW w:w="160" w:type="dxa"/>
            <w:vAlign w:val="bottom"/>
          </w:tcPr>
          <w:p>
            <w:pPr>
              <w:spacing w:after="0"/>
              <w:rPr>
                <w:sz w:val="7"/>
                <w:szCs w:val="7"/>
                <w:color w:val="auto"/>
              </w:rPr>
            </w:pPr>
          </w:p>
        </w:tc>
        <w:tc>
          <w:tcPr>
            <w:tcW w:w="880" w:type="dxa"/>
            <w:vAlign w:val="bottom"/>
            <w:gridSpan w:val="2"/>
            <w:vMerge w:val="continue"/>
          </w:tcPr>
          <w:p>
            <w:pPr>
              <w:spacing w:after="0"/>
              <w:rPr>
                <w:sz w:val="7"/>
                <w:szCs w:val="7"/>
                <w:color w:val="auto"/>
              </w:rPr>
            </w:pPr>
          </w:p>
        </w:tc>
        <w:tc>
          <w:tcPr>
            <w:tcW w:w="1060" w:type="dxa"/>
            <w:vAlign w:val="bottom"/>
            <w:gridSpan w:val="3"/>
            <w:vMerge w:val="continue"/>
          </w:tcPr>
          <w:p>
            <w:pPr>
              <w:spacing w:after="0"/>
              <w:rPr>
                <w:sz w:val="7"/>
                <w:szCs w:val="7"/>
                <w:color w:val="auto"/>
              </w:rPr>
            </w:pPr>
          </w:p>
        </w:tc>
        <w:tc>
          <w:tcPr>
            <w:tcW w:w="180" w:type="dxa"/>
            <w:vAlign w:val="bottom"/>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290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GAAP financial measures:</w:t>
            </w:r>
          </w:p>
        </w:tc>
        <w:tc>
          <w:tcPr>
            <w:tcW w:w="1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40" w:type="dxa"/>
            <w:vAlign w:val="bottom"/>
            <w:vMerge w:val="continue"/>
          </w:tcPr>
          <w:p>
            <w:pPr>
              <w:spacing w:after="0"/>
              <w:rPr>
                <w:sz w:val="20"/>
                <w:szCs w:val="20"/>
                <w:color w:val="auto"/>
              </w:rPr>
            </w:pPr>
          </w:p>
        </w:tc>
        <w:tc>
          <w:tcPr>
            <w:tcW w:w="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20" w:type="dxa"/>
            <w:vAlign w:val="bottom"/>
            <w:gridSpan w:val="2"/>
          </w:tcPr>
          <w:p>
            <w:pPr>
              <w:jc w:val="center"/>
              <w:ind w:right="280"/>
              <w:spacing w:after="0" w:line="230" w:lineRule="exact"/>
              <w:rPr>
                <w:sz w:val="20"/>
                <w:szCs w:val="20"/>
                <w:color w:val="auto"/>
              </w:rPr>
            </w:pPr>
            <w:r>
              <w:rPr>
                <w:rFonts w:ascii="Times New Roman" w:cs="Times New Roman" w:eastAsia="Times New Roman" w:hAnsi="Times New Roman"/>
                <w:sz w:val="17"/>
                <w:szCs w:val="17"/>
                <w:color w:val="auto"/>
                <w:w w:val="93"/>
              </w:rPr>
              <w:t xml:space="preserve">Share </w:t>
            </w:r>
            <w:r>
              <w:rPr>
                <w:rFonts w:ascii="Times New Roman" w:cs="Times New Roman" w:eastAsia="Times New Roman" w:hAnsi="Times New Roman"/>
                <w:sz w:val="22"/>
                <w:szCs w:val="22"/>
                <w:color w:val="auto"/>
                <w:w w:val="93"/>
                <w:vertAlign w:val="superscript"/>
              </w:rPr>
              <w:t>(1)</w:t>
            </w:r>
          </w:p>
        </w:tc>
        <w:tc>
          <w:tcPr>
            <w:tcW w:w="1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00" w:type="dxa"/>
            <w:vAlign w:val="bottom"/>
            <w:gridSpan w:val="2"/>
          </w:tcPr>
          <w:p>
            <w:pPr>
              <w:jc w:val="center"/>
              <w:ind w:right="280"/>
              <w:spacing w:after="0" w:line="230" w:lineRule="exact"/>
              <w:rPr>
                <w:sz w:val="20"/>
                <w:szCs w:val="20"/>
                <w:color w:val="auto"/>
              </w:rPr>
            </w:pPr>
            <w:r>
              <w:rPr>
                <w:rFonts w:ascii="Times New Roman" w:cs="Times New Roman" w:eastAsia="Times New Roman" w:hAnsi="Times New Roman"/>
                <w:sz w:val="17"/>
                <w:szCs w:val="17"/>
                <w:color w:val="auto"/>
                <w:w w:val="89"/>
              </w:rPr>
              <w:t xml:space="preserve">Share </w:t>
            </w:r>
            <w:r>
              <w:rPr>
                <w:rFonts w:ascii="Times New Roman" w:cs="Times New Roman" w:eastAsia="Times New Roman" w:hAnsi="Times New Roman"/>
                <w:sz w:val="22"/>
                <w:szCs w:val="22"/>
                <w:color w:val="auto"/>
                <w:w w:val="89"/>
                <w:vertAlign w:val="superscript"/>
              </w:rPr>
              <w:t>(1)</w:t>
            </w:r>
          </w:p>
        </w:tc>
        <w:tc>
          <w:tcPr>
            <w:tcW w:w="1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tcPr>
          <w:p>
            <w:pPr>
              <w:jc w:val="center"/>
              <w:ind w:right="55"/>
              <w:spacing w:after="0" w:line="230" w:lineRule="exact"/>
              <w:rPr>
                <w:sz w:val="20"/>
                <w:szCs w:val="20"/>
                <w:color w:val="auto"/>
              </w:rPr>
            </w:pPr>
            <w:r>
              <w:rPr>
                <w:rFonts w:ascii="Times New Roman" w:cs="Times New Roman" w:eastAsia="Times New Roman" w:hAnsi="Times New Roman"/>
                <w:sz w:val="17"/>
                <w:szCs w:val="17"/>
                <w:color w:val="auto"/>
                <w:w w:val="93"/>
              </w:rPr>
              <w:t xml:space="preserve">Share </w:t>
            </w:r>
            <w:r>
              <w:rPr>
                <w:rFonts w:ascii="Times New Roman" w:cs="Times New Roman" w:eastAsia="Times New Roman" w:hAnsi="Times New Roman"/>
                <w:sz w:val="22"/>
                <w:szCs w:val="22"/>
                <w:color w:val="auto"/>
                <w:w w:val="93"/>
                <w:vertAlign w:val="superscript"/>
              </w:rPr>
              <w:t>(1)</w:t>
            </w:r>
          </w:p>
        </w:tc>
        <w:tc>
          <w:tcPr>
            <w:tcW w:w="0" w:type="dxa"/>
            <w:vAlign w:val="bottom"/>
          </w:tcPr>
          <w:p>
            <w:pPr>
              <w:spacing w:after="0"/>
              <w:rPr>
                <w:sz w:val="1"/>
                <w:szCs w:val="1"/>
                <w:color w:val="auto"/>
              </w:rPr>
            </w:pPr>
          </w:p>
        </w:tc>
      </w:tr>
      <w:tr>
        <w:trPr>
          <w:trHeight w:val="223"/>
        </w:trPr>
        <w:tc>
          <w:tcPr>
            <w:tcW w:w="29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GAAP measure</w:t>
            </w: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38.0</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780" w:type="dxa"/>
            <w:vAlign w:val="bottom"/>
            <w:tcBorders>
              <w:top w:val="single" w:sz="8" w:color="auto"/>
            </w:tcBorders>
            <w:gridSpan w:val="2"/>
            <w:shd w:val="clear" w:color="auto" w:fill="CCEEFF"/>
          </w:tcPr>
          <w:p>
            <w:pPr>
              <w:jc w:val="center"/>
              <w:ind w:left="235"/>
              <w:spacing w:after="0"/>
              <w:rPr>
                <w:sz w:val="20"/>
                <w:szCs w:val="20"/>
                <w:color w:val="auto"/>
              </w:rPr>
            </w:pPr>
            <w:r>
              <w:rPr>
                <w:rFonts w:ascii="Times New Roman" w:cs="Times New Roman" w:eastAsia="Times New Roman" w:hAnsi="Times New Roman"/>
                <w:sz w:val="17"/>
                <w:szCs w:val="17"/>
                <w:b w:val="1"/>
                <w:bCs w:val="1"/>
                <w:color w:val="auto"/>
              </w:rPr>
              <w:t>0.70</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25.7</w:t>
            </w:r>
          </w:p>
        </w:tc>
        <w:tc>
          <w:tcPr>
            <w:tcW w:w="14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0.46</w:t>
            </w:r>
          </w:p>
        </w:tc>
        <w:tc>
          <w:tcPr>
            <w:tcW w:w="14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112.6</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780" w:type="dxa"/>
            <w:vAlign w:val="bottom"/>
            <w:tcBorders>
              <w:top w:val="single" w:sz="8" w:color="auto"/>
            </w:tcBorders>
            <w:shd w:val="clear" w:color="auto" w:fill="CCEEFF"/>
          </w:tcPr>
          <w:p>
            <w:pPr>
              <w:jc w:val="center"/>
              <w:ind w:left="275"/>
              <w:spacing w:after="0"/>
              <w:rPr>
                <w:sz w:val="20"/>
                <w:szCs w:val="20"/>
                <w:color w:val="auto"/>
              </w:rPr>
            </w:pPr>
            <w:r>
              <w:rPr>
                <w:rFonts w:ascii="Times New Roman" w:cs="Times New Roman" w:eastAsia="Times New Roman" w:hAnsi="Times New Roman"/>
                <w:sz w:val="17"/>
                <w:szCs w:val="17"/>
                <w:b w:val="1"/>
                <w:bCs w:val="1"/>
                <w:color w:val="auto"/>
              </w:rPr>
              <w:t>2.14</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(334.7)</w:t>
            </w:r>
          </w:p>
        </w:tc>
        <w:tc>
          <w:tcPr>
            <w:tcW w:w="14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(5.95)</w:t>
            </w:r>
          </w:p>
        </w:tc>
        <w:tc>
          <w:tcPr>
            <w:tcW w:w="0" w:type="dxa"/>
            <w:vAlign w:val="bottom"/>
          </w:tcPr>
          <w:p>
            <w:pPr>
              <w:spacing w:after="0"/>
              <w:rPr>
                <w:sz w:val="1"/>
                <w:szCs w:val="1"/>
                <w:color w:val="auto"/>
              </w:rPr>
            </w:pPr>
          </w:p>
        </w:tc>
      </w:tr>
      <w:tr>
        <w:trPr>
          <w:trHeight w:val="179"/>
        </w:trPr>
        <w:tc>
          <w:tcPr>
            <w:tcW w:w="2900" w:type="dxa"/>
            <w:vAlign w:val="bottom"/>
          </w:tcPr>
          <w:p>
            <w:pPr>
              <w:ind w:left="120"/>
              <w:spacing w:after="0" w:line="180" w:lineRule="exact"/>
              <w:rPr>
                <w:sz w:val="20"/>
                <w:szCs w:val="20"/>
                <w:color w:val="auto"/>
              </w:rPr>
            </w:pPr>
            <w:r>
              <w:rPr>
                <w:rFonts w:ascii="Times New Roman" w:cs="Times New Roman" w:eastAsia="Times New Roman" w:hAnsi="Times New Roman"/>
                <w:sz w:val="17"/>
                <w:szCs w:val="17"/>
                <w:color w:val="auto"/>
              </w:rPr>
              <w:t>Impact of adjustments to weighted</w:t>
            </w:r>
          </w:p>
        </w:tc>
        <w:tc>
          <w:tcPr>
            <w:tcW w:w="1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2900" w:type="dxa"/>
            <w:vAlign w:val="bottom"/>
          </w:tcPr>
          <w:p>
            <w:pPr>
              <w:ind w:left="120"/>
              <w:spacing w:after="0" w:line="230" w:lineRule="exact"/>
              <w:rPr>
                <w:sz w:val="20"/>
                <w:szCs w:val="20"/>
                <w:color w:val="auto"/>
              </w:rPr>
            </w:pPr>
            <w:r>
              <w:rPr>
                <w:rFonts w:ascii="Times New Roman" w:cs="Times New Roman" w:eastAsia="Times New Roman" w:hAnsi="Times New Roman"/>
                <w:sz w:val="17"/>
                <w:szCs w:val="17"/>
                <w:color w:val="auto"/>
              </w:rPr>
              <w:t xml:space="preserve">average diluted shares outstanding </w:t>
            </w:r>
            <w:r>
              <w:rPr>
                <w:rFonts w:ascii="Times New Roman" w:cs="Times New Roman" w:eastAsia="Times New Roman" w:hAnsi="Times New Roman"/>
                <w:sz w:val="22"/>
                <w:szCs w:val="22"/>
                <w:color w:val="auto"/>
                <w:vertAlign w:val="superscript"/>
              </w:rPr>
              <w:t>(1)</w:t>
            </w:r>
          </w:p>
        </w:tc>
        <w:tc>
          <w:tcPr>
            <w:tcW w:w="180" w:type="dxa"/>
            <w:vAlign w:val="bottom"/>
          </w:tcPr>
          <w:p>
            <w:pPr>
              <w:spacing w:after="0"/>
              <w:rPr>
                <w:sz w:val="20"/>
                <w:szCs w:val="20"/>
                <w:color w:val="auto"/>
              </w:rPr>
            </w:pPr>
          </w:p>
        </w:tc>
        <w:tc>
          <w:tcPr>
            <w:tcW w:w="88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spacing w:after="0"/>
              <w:rPr>
                <w:sz w:val="20"/>
                <w:szCs w:val="20"/>
                <w:color w:val="auto"/>
              </w:rPr>
            </w:pPr>
          </w:p>
        </w:tc>
        <w:tc>
          <w:tcPr>
            <w:tcW w:w="780" w:type="dxa"/>
            <w:vAlign w:val="bottom"/>
            <w:gridSpan w:val="2"/>
          </w:tcPr>
          <w:p>
            <w:pPr>
              <w:jc w:val="center"/>
              <w:ind w:left="235"/>
              <w:spacing w:after="0"/>
              <w:rPr>
                <w:sz w:val="20"/>
                <w:szCs w:val="20"/>
                <w:color w:val="auto"/>
              </w:rPr>
            </w:pPr>
            <w:r>
              <w:rPr>
                <w:rFonts w:ascii="Times New Roman" w:cs="Times New Roman" w:eastAsia="Times New Roman" w:hAnsi="Times New Roman"/>
                <w:sz w:val="17"/>
                <w:szCs w:val="17"/>
                <w:color w:val="auto"/>
              </w:rPr>
              <w:t>0.04</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8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20"/>
                <w:szCs w:val="20"/>
                <w:color w:val="auto"/>
              </w:rPr>
            </w:pPr>
          </w:p>
        </w:tc>
        <w:tc>
          <w:tcPr>
            <w:tcW w:w="92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spacing w:after="0"/>
              <w:rPr>
                <w:sz w:val="20"/>
                <w:szCs w:val="20"/>
                <w:color w:val="auto"/>
              </w:rPr>
            </w:pPr>
          </w:p>
        </w:tc>
        <w:tc>
          <w:tcPr>
            <w:tcW w:w="88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spacing w:after="0"/>
              <w:rPr>
                <w:sz w:val="20"/>
                <w:szCs w:val="20"/>
                <w:color w:val="auto"/>
              </w:rPr>
            </w:pPr>
          </w:p>
        </w:tc>
        <w:tc>
          <w:tcPr>
            <w:tcW w:w="780" w:type="dxa"/>
            <w:vAlign w:val="bottom"/>
          </w:tcPr>
          <w:p>
            <w:pPr>
              <w:jc w:val="center"/>
              <w:ind w:left="275"/>
              <w:spacing w:after="0"/>
              <w:rPr>
                <w:sz w:val="20"/>
                <w:szCs w:val="20"/>
                <w:color w:val="auto"/>
              </w:rPr>
            </w:pPr>
            <w:r>
              <w:rPr>
                <w:rFonts w:ascii="Times New Roman" w:cs="Times New Roman" w:eastAsia="Times New Roman" w:hAnsi="Times New Roman"/>
                <w:sz w:val="17"/>
                <w:szCs w:val="17"/>
                <w:color w:val="auto"/>
              </w:rPr>
              <w:t>0.03</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0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0.04</w:t>
            </w:r>
          </w:p>
        </w:tc>
        <w:tc>
          <w:tcPr>
            <w:tcW w:w="0" w:type="dxa"/>
            <w:vAlign w:val="bottom"/>
          </w:tcPr>
          <w:p>
            <w:pPr>
              <w:spacing w:after="0"/>
              <w:rPr>
                <w:sz w:val="1"/>
                <w:szCs w:val="1"/>
                <w:color w:val="auto"/>
              </w:rPr>
            </w:pPr>
          </w:p>
        </w:tc>
      </w:tr>
      <w:tr>
        <w:trPr>
          <w:trHeight w:val="179"/>
        </w:trPr>
        <w:tc>
          <w:tcPr>
            <w:tcW w:w="2900" w:type="dxa"/>
            <w:vAlign w:val="bottom"/>
            <w:shd w:val="clear" w:color="auto" w:fill="CCEEFF"/>
          </w:tcPr>
          <w:p>
            <w:pPr>
              <w:ind w:left="120"/>
              <w:spacing w:after="0" w:line="180" w:lineRule="exact"/>
              <w:rPr>
                <w:sz w:val="20"/>
                <w:szCs w:val="20"/>
                <w:color w:val="auto"/>
              </w:rPr>
            </w:pPr>
            <w:r>
              <w:rPr>
                <w:rFonts w:ascii="Times New Roman" w:cs="Times New Roman" w:eastAsia="Times New Roman" w:hAnsi="Times New Roman"/>
                <w:sz w:val="17"/>
                <w:szCs w:val="17"/>
                <w:color w:val="auto"/>
              </w:rPr>
              <w:t>Acquisition and divestiture related</w:t>
            </w:r>
          </w:p>
        </w:tc>
        <w:tc>
          <w:tcPr>
            <w:tcW w:w="18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29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expenses</w:t>
            </w:r>
          </w:p>
        </w:tc>
        <w:tc>
          <w:tcPr>
            <w:tcW w:w="180" w:type="dxa"/>
            <w:vAlign w:val="bottom"/>
            <w:shd w:val="clear" w:color="auto" w:fill="CCEEFF"/>
          </w:tcPr>
          <w:p>
            <w:pPr>
              <w:spacing w:after="0"/>
              <w:rPr>
                <w:sz w:val="20"/>
                <w:szCs w:val="20"/>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0.3</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80" w:type="dxa"/>
            <w:vAlign w:val="bottom"/>
            <w:gridSpan w:val="2"/>
            <w:shd w:val="clear" w:color="auto" w:fill="CCEEFF"/>
          </w:tcPr>
          <w:p>
            <w:pPr>
              <w:jc w:val="center"/>
              <w:ind w:left="235"/>
              <w:spacing w:after="0"/>
              <w:rPr>
                <w:sz w:val="20"/>
                <w:szCs w:val="20"/>
                <w:color w:val="auto"/>
              </w:rPr>
            </w:pPr>
            <w:r>
              <w:rPr>
                <w:rFonts w:ascii="Times New Roman" w:cs="Times New Roman" w:eastAsia="Times New Roman" w:hAnsi="Times New Roman"/>
                <w:sz w:val="17"/>
                <w:szCs w:val="17"/>
                <w:color w:val="auto"/>
              </w:rPr>
              <w:t>0.01</w:t>
            </w: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shd w:val="clear" w:color="auto" w:fill="CCEEFF"/>
          </w:tcPr>
          <w:p>
            <w:pPr>
              <w:spacing w:after="0"/>
              <w:rPr>
                <w:sz w:val="20"/>
                <w:szCs w:val="20"/>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0.5</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80" w:type="dxa"/>
            <w:vAlign w:val="bottom"/>
            <w:shd w:val="clear" w:color="auto" w:fill="CCEEFF"/>
          </w:tcPr>
          <w:p>
            <w:pPr>
              <w:jc w:val="center"/>
              <w:ind w:left="275"/>
              <w:spacing w:after="0"/>
              <w:rPr>
                <w:sz w:val="20"/>
                <w:szCs w:val="20"/>
                <w:color w:val="auto"/>
              </w:rPr>
            </w:pPr>
            <w:r>
              <w:rPr>
                <w:rFonts w:ascii="Times New Roman" w:cs="Times New Roman" w:eastAsia="Times New Roman" w:hAnsi="Times New Roman"/>
                <w:sz w:val="17"/>
                <w:szCs w:val="17"/>
                <w:color w:val="auto"/>
              </w:rPr>
              <w:t>0.01</w:t>
            </w: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179"/>
        </w:trPr>
        <w:tc>
          <w:tcPr>
            <w:tcW w:w="2900" w:type="dxa"/>
            <w:vAlign w:val="bottom"/>
          </w:tcPr>
          <w:p>
            <w:pPr>
              <w:ind w:left="120"/>
              <w:spacing w:after="0" w:line="180" w:lineRule="exact"/>
              <w:rPr>
                <w:sz w:val="20"/>
                <w:szCs w:val="20"/>
                <w:color w:val="auto"/>
              </w:rPr>
            </w:pPr>
            <w:r>
              <w:rPr>
                <w:rFonts w:ascii="Times New Roman" w:cs="Times New Roman" w:eastAsia="Times New Roman" w:hAnsi="Times New Roman"/>
                <w:sz w:val="17"/>
                <w:szCs w:val="17"/>
                <w:color w:val="auto"/>
              </w:rPr>
              <w:t>Non-core divestitures and business</w:t>
            </w:r>
          </w:p>
        </w:tc>
        <w:tc>
          <w:tcPr>
            <w:tcW w:w="1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2900" w:type="dxa"/>
            <w:vAlign w:val="bottom"/>
          </w:tcPr>
          <w:p>
            <w:pPr>
              <w:ind w:left="120"/>
              <w:spacing w:after="0" w:line="230" w:lineRule="exact"/>
              <w:rPr>
                <w:sz w:val="20"/>
                <w:szCs w:val="20"/>
                <w:color w:val="auto"/>
              </w:rPr>
            </w:pPr>
            <w:r>
              <w:rPr>
                <w:rFonts w:ascii="Times New Roman" w:cs="Times New Roman" w:eastAsia="Times New Roman" w:hAnsi="Times New Roman"/>
                <w:sz w:val="17"/>
                <w:szCs w:val="17"/>
                <w:color w:val="auto"/>
              </w:rPr>
              <w:t xml:space="preserve">exits </w:t>
            </w:r>
            <w:r>
              <w:rPr>
                <w:rFonts w:ascii="Times New Roman" w:cs="Times New Roman" w:eastAsia="Times New Roman" w:hAnsi="Times New Roman"/>
                <w:sz w:val="22"/>
                <w:szCs w:val="22"/>
                <w:color w:val="auto"/>
                <w:vertAlign w:val="superscript"/>
              </w:rPr>
              <w:t>(2)</w:t>
            </w:r>
          </w:p>
        </w:tc>
        <w:tc>
          <w:tcPr>
            <w:tcW w:w="18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80" w:type="dxa"/>
            <w:vAlign w:val="bottom"/>
            <w:gridSpan w:val="2"/>
          </w:tcPr>
          <w:p>
            <w:pPr>
              <w:jc w:val="center"/>
              <w:ind w:left="215"/>
              <w:spacing w:after="0"/>
              <w:rPr>
                <w:sz w:val="20"/>
                <w:szCs w:val="20"/>
                <w:color w:val="auto"/>
              </w:rPr>
            </w:pPr>
            <w:r>
              <w:rPr>
                <w:rFonts w:ascii="Times New Roman" w:cs="Times New Roman" w:eastAsia="Times New Roman" w:hAnsi="Times New Roman"/>
                <w:sz w:val="17"/>
                <w:szCs w:val="17"/>
                <w:color w:val="auto"/>
                <w:w w:val="97"/>
              </w:rPr>
              <w:t>(0.05)</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8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20"/>
                <w:szCs w:val="20"/>
                <w:color w:val="auto"/>
              </w:rPr>
            </w:pPr>
          </w:p>
        </w:tc>
        <w:tc>
          <w:tcPr>
            <w:tcW w:w="92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9.0</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80" w:type="dxa"/>
            <w:vAlign w:val="bottom"/>
          </w:tcPr>
          <w:p>
            <w:pPr>
              <w:jc w:val="center"/>
              <w:ind w:left="275"/>
              <w:spacing w:after="0"/>
              <w:rPr>
                <w:sz w:val="20"/>
                <w:szCs w:val="20"/>
                <w:color w:val="auto"/>
              </w:rPr>
            </w:pPr>
            <w:r>
              <w:rPr>
                <w:rFonts w:ascii="Times New Roman" w:cs="Times New Roman" w:eastAsia="Times New Roman" w:hAnsi="Times New Roman"/>
                <w:sz w:val="17"/>
                <w:szCs w:val="17"/>
                <w:color w:val="auto"/>
              </w:rPr>
              <w:t>0.17</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0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30"/>
        </w:trPr>
        <w:tc>
          <w:tcPr>
            <w:tcW w:w="29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(Gain) loss on sale of business</w:t>
            </w:r>
          </w:p>
        </w:tc>
        <w:tc>
          <w:tcPr>
            <w:tcW w:w="180" w:type="dxa"/>
            <w:vAlign w:val="bottom"/>
            <w:shd w:val="clear" w:color="auto" w:fill="CCEEFF"/>
          </w:tcPr>
          <w:p>
            <w:pPr>
              <w:spacing w:after="0"/>
              <w:rPr>
                <w:sz w:val="20"/>
                <w:szCs w:val="20"/>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(4.3)</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80" w:type="dxa"/>
            <w:vAlign w:val="bottom"/>
            <w:gridSpan w:val="2"/>
            <w:shd w:val="clear" w:color="auto" w:fill="CCEEFF"/>
          </w:tcPr>
          <w:p>
            <w:pPr>
              <w:jc w:val="center"/>
              <w:ind w:left="215"/>
              <w:spacing w:after="0"/>
              <w:rPr>
                <w:sz w:val="20"/>
                <w:szCs w:val="20"/>
                <w:color w:val="auto"/>
              </w:rPr>
            </w:pPr>
            <w:r>
              <w:rPr>
                <w:rFonts w:ascii="Times New Roman" w:cs="Times New Roman" w:eastAsia="Times New Roman" w:hAnsi="Times New Roman"/>
                <w:sz w:val="17"/>
                <w:szCs w:val="17"/>
                <w:color w:val="auto"/>
                <w:w w:val="97"/>
              </w:rPr>
              <w:t>(0.08)</w:t>
            </w: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shd w:val="clear" w:color="auto" w:fill="CCEEFF"/>
          </w:tcPr>
          <w:p>
            <w:pPr>
              <w:spacing w:after="0"/>
              <w:rPr>
                <w:sz w:val="20"/>
                <w:szCs w:val="20"/>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(5.8)</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80" w:type="dxa"/>
            <w:vAlign w:val="bottom"/>
            <w:shd w:val="clear" w:color="auto" w:fill="CCEEFF"/>
          </w:tcPr>
          <w:p>
            <w:pPr>
              <w:jc w:val="center"/>
              <w:ind w:left="235"/>
              <w:spacing w:after="0"/>
              <w:rPr>
                <w:sz w:val="20"/>
                <w:szCs w:val="20"/>
                <w:color w:val="auto"/>
              </w:rPr>
            </w:pPr>
            <w:r>
              <w:rPr>
                <w:rFonts w:ascii="Times New Roman" w:cs="Times New Roman" w:eastAsia="Times New Roman" w:hAnsi="Times New Roman"/>
                <w:sz w:val="17"/>
                <w:szCs w:val="17"/>
                <w:color w:val="auto"/>
              </w:rPr>
              <w:t>(0.11)</w:t>
            </w: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82.3</w:t>
            </w:r>
          </w:p>
        </w:tc>
        <w:tc>
          <w:tcPr>
            <w:tcW w:w="1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1.45</w:t>
            </w:r>
          </w:p>
        </w:tc>
        <w:tc>
          <w:tcPr>
            <w:tcW w:w="0" w:type="dxa"/>
            <w:vAlign w:val="bottom"/>
          </w:tcPr>
          <w:p>
            <w:pPr>
              <w:spacing w:after="0"/>
              <w:rPr>
                <w:sz w:val="1"/>
                <w:szCs w:val="1"/>
                <w:color w:val="auto"/>
              </w:rPr>
            </w:pPr>
          </w:p>
        </w:tc>
      </w:tr>
      <w:tr>
        <w:trPr>
          <w:trHeight w:val="230"/>
        </w:trPr>
        <w:tc>
          <w:tcPr>
            <w:tcW w:w="290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Goodwill and other asset impairments</w:t>
            </w:r>
          </w:p>
        </w:tc>
        <w:tc>
          <w:tcPr>
            <w:tcW w:w="18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0.9</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80" w:type="dxa"/>
            <w:vAlign w:val="bottom"/>
            <w:gridSpan w:val="2"/>
          </w:tcPr>
          <w:p>
            <w:pPr>
              <w:jc w:val="center"/>
              <w:ind w:left="235"/>
              <w:spacing w:after="0"/>
              <w:rPr>
                <w:sz w:val="20"/>
                <w:szCs w:val="20"/>
                <w:color w:val="auto"/>
              </w:rPr>
            </w:pPr>
            <w:r>
              <w:rPr>
                <w:rFonts w:ascii="Times New Roman" w:cs="Times New Roman" w:eastAsia="Times New Roman" w:hAnsi="Times New Roman"/>
                <w:sz w:val="17"/>
                <w:szCs w:val="17"/>
                <w:color w:val="auto"/>
              </w:rPr>
              <w:t>0.02</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8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20"/>
                <w:szCs w:val="20"/>
                <w:color w:val="auto"/>
              </w:rPr>
            </w:pPr>
          </w:p>
        </w:tc>
        <w:tc>
          <w:tcPr>
            <w:tcW w:w="92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80" w:type="dxa"/>
            <w:vAlign w:val="bottom"/>
          </w:tcPr>
          <w:p>
            <w:pPr>
              <w:jc w:val="center"/>
              <w:ind w:left="235"/>
              <w:spacing w:after="0"/>
              <w:rPr>
                <w:sz w:val="20"/>
                <w:szCs w:val="20"/>
                <w:color w:val="auto"/>
              </w:rPr>
            </w:pPr>
            <w:r>
              <w:rPr>
                <w:rFonts w:ascii="Times New Roman" w:cs="Times New Roman" w:eastAsia="Times New Roman" w:hAnsi="Times New Roman"/>
                <w:sz w:val="17"/>
                <w:szCs w:val="17"/>
                <w:color w:val="auto"/>
              </w:rPr>
              <w:t>(0.03)</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443.1</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7.82</w:t>
            </w:r>
          </w:p>
        </w:tc>
        <w:tc>
          <w:tcPr>
            <w:tcW w:w="0" w:type="dxa"/>
            <w:vAlign w:val="bottom"/>
          </w:tcPr>
          <w:p>
            <w:pPr>
              <w:spacing w:after="0"/>
              <w:rPr>
                <w:sz w:val="1"/>
                <w:szCs w:val="1"/>
                <w:color w:val="auto"/>
              </w:rPr>
            </w:pPr>
          </w:p>
        </w:tc>
      </w:tr>
      <w:tr>
        <w:trPr>
          <w:trHeight w:val="230"/>
        </w:trPr>
        <w:tc>
          <w:tcPr>
            <w:tcW w:w="29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Integration costs</w:t>
            </w:r>
          </w:p>
        </w:tc>
        <w:tc>
          <w:tcPr>
            <w:tcW w:w="180" w:type="dxa"/>
            <w:vAlign w:val="bottom"/>
            <w:shd w:val="clear" w:color="auto" w:fill="CCEEFF"/>
          </w:tcPr>
          <w:p>
            <w:pPr>
              <w:spacing w:after="0"/>
              <w:rPr>
                <w:sz w:val="20"/>
                <w:szCs w:val="20"/>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80" w:type="dxa"/>
            <w:vAlign w:val="bottom"/>
            <w:gridSpan w:val="2"/>
            <w:shd w:val="clear" w:color="auto" w:fill="CCEEFF"/>
          </w:tcPr>
          <w:p>
            <w:pPr>
              <w:jc w:val="center"/>
              <w:ind w:left="235"/>
              <w:spacing w:after="0"/>
              <w:rPr>
                <w:sz w:val="20"/>
                <w:szCs w:val="20"/>
                <w:color w:val="auto"/>
              </w:rPr>
            </w:pPr>
            <w:r>
              <w:rPr>
                <w:rFonts w:ascii="Times New Roman" w:cs="Times New Roman" w:eastAsia="Times New Roman" w:hAnsi="Times New Roman"/>
                <w:sz w:val="17"/>
                <w:szCs w:val="17"/>
                <w:color w:val="auto"/>
              </w:rPr>
              <w:t>0.03</w:t>
            </w: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shd w:val="clear" w:color="auto" w:fill="CCEEFF"/>
          </w:tcPr>
          <w:p>
            <w:pPr>
              <w:spacing w:after="0"/>
              <w:rPr>
                <w:sz w:val="20"/>
                <w:szCs w:val="20"/>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5.4</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80" w:type="dxa"/>
            <w:vAlign w:val="bottom"/>
            <w:shd w:val="clear" w:color="auto" w:fill="CCEEFF"/>
          </w:tcPr>
          <w:p>
            <w:pPr>
              <w:jc w:val="center"/>
              <w:ind w:left="275"/>
              <w:spacing w:after="0"/>
              <w:rPr>
                <w:sz w:val="20"/>
                <w:szCs w:val="20"/>
                <w:color w:val="auto"/>
              </w:rPr>
            </w:pPr>
            <w:r>
              <w:rPr>
                <w:rFonts w:ascii="Times New Roman" w:cs="Times New Roman" w:eastAsia="Times New Roman" w:hAnsi="Times New Roman"/>
                <w:sz w:val="17"/>
                <w:szCs w:val="17"/>
                <w:color w:val="auto"/>
              </w:rPr>
              <w:t>0.11</w:t>
            </w: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30"/>
        </w:trPr>
        <w:tc>
          <w:tcPr>
            <w:tcW w:w="290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Exit costs - provision for credit losses</w:t>
            </w:r>
          </w:p>
        </w:tc>
        <w:tc>
          <w:tcPr>
            <w:tcW w:w="18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23.2</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80" w:type="dxa"/>
            <w:vAlign w:val="bottom"/>
            <w:gridSpan w:val="2"/>
          </w:tcPr>
          <w:p>
            <w:pPr>
              <w:jc w:val="center"/>
              <w:ind w:left="235"/>
              <w:spacing w:after="0"/>
              <w:rPr>
                <w:sz w:val="20"/>
                <w:szCs w:val="20"/>
                <w:color w:val="auto"/>
              </w:rPr>
            </w:pPr>
            <w:r>
              <w:rPr>
                <w:rFonts w:ascii="Times New Roman" w:cs="Times New Roman" w:eastAsia="Times New Roman" w:hAnsi="Times New Roman"/>
                <w:sz w:val="17"/>
                <w:szCs w:val="17"/>
                <w:color w:val="auto"/>
              </w:rPr>
              <w:t>0.45</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0.5</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0.01</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26.2</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80" w:type="dxa"/>
            <w:vAlign w:val="bottom"/>
          </w:tcPr>
          <w:p>
            <w:pPr>
              <w:jc w:val="center"/>
              <w:ind w:left="275"/>
              <w:spacing w:after="0"/>
              <w:rPr>
                <w:sz w:val="20"/>
                <w:szCs w:val="20"/>
                <w:color w:val="auto"/>
              </w:rPr>
            </w:pPr>
            <w:r>
              <w:rPr>
                <w:rFonts w:ascii="Times New Roman" w:cs="Times New Roman" w:eastAsia="Times New Roman" w:hAnsi="Times New Roman"/>
                <w:sz w:val="17"/>
                <w:szCs w:val="17"/>
                <w:color w:val="auto"/>
              </w:rPr>
              <w:t>0.51</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0.5</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0.01</w:t>
            </w:r>
          </w:p>
        </w:tc>
        <w:tc>
          <w:tcPr>
            <w:tcW w:w="0" w:type="dxa"/>
            <w:vAlign w:val="bottom"/>
          </w:tcPr>
          <w:p>
            <w:pPr>
              <w:spacing w:after="0"/>
              <w:rPr>
                <w:sz w:val="1"/>
                <w:szCs w:val="1"/>
                <w:color w:val="auto"/>
              </w:rPr>
            </w:pPr>
          </w:p>
        </w:tc>
      </w:tr>
      <w:tr>
        <w:trPr>
          <w:trHeight w:val="230"/>
        </w:trPr>
        <w:tc>
          <w:tcPr>
            <w:tcW w:w="29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Finnish bid error</w:t>
            </w:r>
          </w:p>
        </w:tc>
        <w:tc>
          <w:tcPr>
            <w:tcW w:w="180" w:type="dxa"/>
            <w:vAlign w:val="bottom"/>
            <w:shd w:val="clear" w:color="auto" w:fill="CCEEFF"/>
          </w:tcPr>
          <w:p>
            <w:pPr>
              <w:spacing w:after="0"/>
              <w:rPr>
                <w:sz w:val="20"/>
                <w:szCs w:val="20"/>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0.8</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80" w:type="dxa"/>
            <w:vAlign w:val="bottom"/>
            <w:gridSpan w:val="2"/>
            <w:shd w:val="clear" w:color="auto" w:fill="CCEEFF"/>
          </w:tcPr>
          <w:p>
            <w:pPr>
              <w:jc w:val="center"/>
              <w:ind w:left="235"/>
              <w:spacing w:after="0"/>
              <w:rPr>
                <w:sz w:val="20"/>
                <w:szCs w:val="20"/>
                <w:color w:val="auto"/>
              </w:rPr>
            </w:pPr>
            <w:r>
              <w:rPr>
                <w:rFonts w:ascii="Times New Roman" w:cs="Times New Roman" w:eastAsia="Times New Roman" w:hAnsi="Times New Roman"/>
                <w:sz w:val="17"/>
                <w:szCs w:val="17"/>
                <w:color w:val="auto"/>
              </w:rPr>
              <w:t>0.02</w:t>
            </w: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0.4</w:t>
            </w:r>
          </w:p>
        </w:tc>
        <w:tc>
          <w:tcPr>
            <w:tcW w:w="1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0.01</w:t>
            </w:r>
          </w:p>
        </w:tc>
        <w:tc>
          <w:tcPr>
            <w:tcW w:w="1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6.0</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80" w:type="dxa"/>
            <w:vAlign w:val="bottom"/>
            <w:shd w:val="clear" w:color="auto" w:fill="CCEEFF"/>
          </w:tcPr>
          <w:p>
            <w:pPr>
              <w:jc w:val="center"/>
              <w:ind w:left="275"/>
              <w:spacing w:after="0"/>
              <w:rPr>
                <w:sz w:val="20"/>
                <w:szCs w:val="20"/>
                <w:color w:val="auto"/>
              </w:rPr>
            </w:pPr>
            <w:r>
              <w:rPr>
                <w:rFonts w:ascii="Times New Roman" w:cs="Times New Roman" w:eastAsia="Times New Roman" w:hAnsi="Times New Roman"/>
                <w:sz w:val="17"/>
                <w:szCs w:val="17"/>
                <w:color w:val="auto"/>
              </w:rPr>
              <w:t>0.12</w:t>
            </w: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0.4</w:t>
            </w:r>
          </w:p>
        </w:tc>
        <w:tc>
          <w:tcPr>
            <w:tcW w:w="1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0.01</w:t>
            </w:r>
          </w:p>
        </w:tc>
        <w:tc>
          <w:tcPr>
            <w:tcW w:w="0" w:type="dxa"/>
            <w:vAlign w:val="bottom"/>
          </w:tcPr>
          <w:p>
            <w:pPr>
              <w:spacing w:after="0"/>
              <w:rPr>
                <w:sz w:val="1"/>
                <w:szCs w:val="1"/>
                <w:color w:val="auto"/>
              </w:rPr>
            </w:pPr>
          </w:p>
        </w:tc>
      </w:tr>
      <w:tr>
        <w:trPr>
          <w:trHeight w:val="230"/>
        </w:trPr>
        <w:tc>
          <w:tcPr>
            <w:tcW w:w="2900" w:type="dxa"/>
            <w:vAlign w:val="bottom"/>
          </w:tcPr>
          <w:p>
            <w:pPr>
              <w:ind w:left="120"/>
              <w:spacing w:after="0" w:line="230" w:lineRule="exact"/>
              <w:rPr>
                <w:sz w:val="20"/>
                <w:szCs w:val="20"/>
                <w:color w:val="auto"/>
              </w:rPr>
            </w:pPr>
            <w:r>
              <w:rPr>
                <w:rFonts w:ascii="Times New Roman" w:cs="Times New Roman" w:eastAsia="Times New Roman" w:hAnsi="Times New Roman"/>
                <w:sz w:val="17"/>
                <w:szCs w:val="17"/>
                <w:color w:val="auto"/>
              </w:rPr>
              <w:t xml:space="preserve">Restructuring and exit costs </w:t>
            </w:r>
            <w:r>
              <w:rPr>
                <w:rFonts w:ascii="Times New Roman" w:cs="Times New Roman" w:eastAsia="Times New Roman" w:hAnsi="Times New Roman"/>
                <w:sz w:val="22"/>
                <w:szCs w:val="22"/>
                <w:color w:val="auto"/>
                <w:vertAlign w:val="superscript"/>
              </w:rPr>
              <w:t>(3)</w:t>
            </w:r>
          </w:p>
        </w:tc>
        <w:tc>
          <w:tcPr>
            <w:tcW w:w="18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80" w:type="dxa"/>
            <w:vAlign w:val="bottom"/>
            <w:gridSpan w:val="2"/>
          </w:tcPr>
          <w:p>
            <w:pPr>
              <w:jc w:val="center"/>
              <w:ind w:left="215"/>
              <w:spacing w:after="0"/>
              <w:rPr>
                <w:sz w:val="20"/>
                <w:szCs w:val="20"/>
                <w:color w:val="auto"/>
              </w:rPr>
            </w:pPr>
            <w:r>
              <w:rPr>
                <w:rFonts w:ascii="Times New Roman" w:cs="Times New Roman" w:eastAsia="Times New Roman" w:hAnsi="Times New Roman"/>
                <w:sz w:val="17"/>
                <w:szCs w:val="17"/>
                <w:color w:val="auto"/>
                <w:w w:val="97"/>
              </w:rPr>
              <w:t>(0.03)</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4.9</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0.09</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14.1</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80" w:type="dxa"/>
            <w:vAlign w:val="bottom"/>
          </w:tcPr>
          <w:p>
            <w:pPr>
              <w:jc w:val="center"/>
              <w:ind w:left="275"/>
              <w:spacing w:after="0"/>
              <w:rPr>
                <w:sz w:val="20"/>
                <w:szCs w:val="20"/>
                <w:color w:val="auto"/>
              </w:rPr>
            </w:pPr>
            <w:r>
              <w:rPr>
                <w:rFonts w:ascii="Times New Roman" w:cs="Times New Roman" w:eastAsia="Times New Roman" w:hAnsi="Times New Roman"/>
                <w:sz w:val="17"/>
                <w:szCs w:val="17"/>
                <w:color w:val="auto"/>
              </w:rPr>
              <w:t>0.27</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25.9</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0.46</w:t>
            </w:r>
          </w:p>
        </w:tc>
        <w:tc>
          <w:tcPr>
            <w:tcW w:w="0" w:type="dxa"/>
            <w:vAlign w:val="bottom"/>
          </w:tcPr>
          <w:p>
            <w:pPr>
              <w:spacing w:after="0"/>
              <w:rPr>
                <w:sz w:val="1"/>
                <w:szCs w:val="1"/>
                <w:color w:val="auto"/>
              </w:rPr>
            </w:pPr>
          </w:p>
        </w:tc>
      </w:tr>
      <w:tr>
        <w:trPr>
          <w:trHeight w:val="230"/>
        </w:trPr>
        <w:tc>
          <w:tcPr>
            <w:tcW w:w="29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Income tax impacts</w:t>
            </w:r>
          </w:p>
        </w:tc>
        <w:tc>
          <w:tcPr>
            <w:tcW w:w="180" w:type="dxa"/>
            <w:vAlign w:val="bottom"/>
            <w:tcBorders>
              <w:bottom w:val="single" w:sz="8" w:color="auto"/>
            </w:tcBorders>
            <w:shd w:val="clear" w:color="auto" w:fill="CCEEFF"/>
          </w:tcPr>
          <w:p>
            <w:pPr>
              <w:spacing w:after="0"/>
              <w:rPr>
                <w:sz w:val="20"/>
                <w:szCs w:val="20"/>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(5.4)</w:t>
            </w:r>
          </w:p>
        </w:tc>
        <w:tc>
          <w:tcPr>
            <w:tcW w:w="120" w:type="dxa"/>
            <w:vAlign w:val="bottom"/>
            <w:tcBorders>
              <w:bottom w:val="single" w:sz="8" w:color="auto"/>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780" w:type="dxa"/>
            <w:vAlign w:val="bottom"/>
            <w:tcBorders>
              <w:bottom w:val="single" w:sz="8" w:color="auto"/>
            </w:tcBorders>
            <w:gridSpan w:val="2"/>
            <w:shd w:val="clear" w:color="auto" w:fill="CCEEFF"/>
          </w:tcPr>
          <w:p>
            <w:pPr>
              <w:jc w:val="center"/>
              <w:ind w:left="215"/>
              <w:spacing w:after="0"/>
              <w:rPr>
                <w:sz w:val="20"/>
                <w:szCs w:val="20"/>
                <w:color w:val="auto"/>
              </w:rPr>
            </w:pPr>
            <w:r>
              <w:rPr>
                <w:rFonts w:ascii="Times New Roman" w:cs="Times New Roman" w:eastAsia="Times New Roman" w:hAnsi="Times New Roman"/>
                <w:sz w:val="17"/>
                <w:szCs w:val="17"/>
                <w:color w:val="auto"/>
                <w:w w:val="97"/>
              </w:rPr>
              <w:t>(0.10)</w:t>
            </w:r>
          </w:p>
        </w:tc>
        <w:tc>
          <w:tcPr>
            <w:tcW w:w="120" w:type="dxa"/>
            <w:vAlign w:val="bottom"/>
            <w:tcBorders>
              <w:bottom w:val="single" w:sz="8" w:color="auto"/>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w:t>
            </w:r>
          </w:p>
        </w:tc>
        <w:tc>
          <w:tcPr>
            <w:tcW w:w="140" w:type="dxa"/>
            <w:vAlign w:val="bottom"/>
            <w:tcBorders>
              <w:bottom w:val="single" w:sz="8" w:color="auto"/>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(0.03)</w:t>
            </w:r>
          </w:p>
        </w:tc>
        <w:tc>
          <w:tcPr>
            <w:tcW w:w="140" w:type="dxa"/>
            <w:vAlign w:val="bottom"/>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(9.9)</w:t>
            </w:r>
          </w:p>
        </w:tc>
        <w:tc>
          <w:tcPr>
            <w:tcW w:w="120" w:type="dxa"/>
            <w:vAlign w:val="bottom"/>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780" w:type="dxa"/>
            <w:vAlign w:val="bottom"/>
            <w:tcBorders>
              <w:bottom w:val="single" w:sz="8" w:color="auto"/>
            </w:tcBorders>
            <w:shd w:val="clear" w:color="auto" w:fill="CCEEFF"/>
          </w:tcPr>
          <w:p>
            <w:pPr>
              <w:jc w:val="center"/>
              <w:ind w:left="235"/>
              <w:spacing w:after="0"/>
              <w:rPr>
                <w:sz w:val="20"/>
                <w:szCs w:val="20"/>
                <w:color w:val="auto"/>
              </w:rPr>
            </w:pPr>
            <w:r>
              <w:rPr>
                <w:rFonts w:ascii="Times New Roman" w:cs="Times New Roman" w:eastAsia="Times New Roman" w:hAnsi="Times New Roman"/>
                <w:sz w:val="17"/>
                <w:szCs w:val="17"/>
                <w:color w:val="auto"/>
              </w:rPr>
              <w:t>(0.19)</w:t>
            </w:r>
          </w:p>
        </w:tc>
        <w:tc>
          <w:tcPr>
            <w:tcW w:w="120" w:type="dxa"/>
            <w:vAlign w:val="bottom"/>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(126.9)</w:t>
            </w:r>
          </w:p>
        </w:tc>
        <w:tc>
          <w:tcPr>
            <w:tcW w:w="140" w:type="dxa"/>
            <w:vAlign w:val="bottom"/>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(2.24)</w:t>
            </w:r>
          </w:p>
        </w:tc>
        <w:tc>
          <w:tcPr>
            <w:tcW w:w="0" w:type="dxa"/>
            <w:vAlign w:val="bottom"/>
          </w:tcPr>
          <w:p>
            <w:pPr>
              <w:spacing w:after="0"/>
              <w:rPr>
                <w:sz w:val="1"/>
                <w:szCs w:val="1"/>
                <w:color w:val="auto"/>
              </w:rPr>
            </w:pPr>
          </w:p>
        </w:tc>
      </w:tr>
      <w:tr>
        <w:trPr>
          <w:trHeight w:val="223"/>
        </w:trPr>
        <w:tc>
          <w:tcPr>
            <w:tcW w:w="290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Adjusted non-GAAP measure</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50.8</w:t>
            </w:r>
          </w:p>
        </w:tc>
        <w:tc>
          <w:tcPr>
            <w:tcW w:w="1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780" w:type="dxa"/>
            <w:vAlign w:val="bottom"/>
            <w:tcBorders>
              <w:bottom w:val="single" w:sz="8" w:color="auto"/>
            </w:tcBorders>
            <w:gridSpan w:val="2"/>
          </w:tcPr>
          <w:p>
            <w:pPr>
              <w:jc w:val="center"/>
              <w:ind w:left="235"/>
              <w:spacing w:after="0"/>
              <w:rPr>
                <w:sz w:val="20"/>
                <w:szCs w:val="20"/>
                <w:color w:val="auto"/>
              </w:rPr>
            </w:pPr>
            <w:r>
              <w:rPr>
                <w:rFonts w:ascii="Times New Roman" w:cs="Times New Roman" w:eastAsia="Times New Roman" w:hAnsi="Times New Roman"/>
                <w:sz w:val="17"/>
                <w:szCs w:val="17"/>
                <w:b w:val="1"/>
                <w:bCs w:val="1"/>
                <w:color w:val="auto"/>
              </w:rPr>
              <w:t>0.99</w:t>
            </w:r>
          </w:p>
        </w:tc>
        <w:tc>
          <w:tcPr>
            <w:tcW w:w="12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30.0</w:t>
            </w:r>
          </w:p>
        </w:tc>
        <w:tc>
          <w:tcPr>
            <w:tcW w:w="14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0.54</w:t>
            </w:r>
          </w:p>
        </w:tc>
        <w:tc>
          <w:tcPr>
            <w:tcW w:w="14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156.4</w:t>
            </w:r>
          </w:p>
        </w:tc>
        <w:tc>
          <w:tcPr>
            <w:tcW w:w="1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780" w:type="dxa"/>
            <w:vAlign w:val="bottom"/>
            <w:tcBorders>
              <w:bottom w:val="single" w:sz="8" w:color="auto"/>
            </w:tcBorders>
          </w:tcPr>
          <w:p>
            <w:pPr>
              <w:jc w:val="center"/>
              <w:ind w:left="275"/>
              <w:spacing w:after="0"/>
              <w:rPr>
                <w:sz w:val="20"/>
                <w:szCs w:val="20"/>
                <w:color w:val="auto"/>
              </w:rPr>
            </w:pPr>
            <w:r>
              <w:rPr>
                <w:rFonts w:ascii="Times New Roman" w:cs="Times New Roman" w:eastAsia="Times New Roman" w:hAnsi="Times New Roman"/>
                <w:sz w:val="17"/>
                <w:szCs w:val="17"/>
                <w:b w:val="1"/>
                <w:bCs w:val="1"/>
                <w:color w:val="auto"/>
              </w:rPr>
              <w:t>3.02</w:t>
            </w:r>
          </w:p>
        </w:tc>
        <w:tc>
          <w:tcPr>
            <w:tcW w:w="12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90.6</w:t>
            </w:r>
          </w:p>
        </w:tc>
        <w:tc>
          <w:tcPr>
            <w:tcW w:w="14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1.60</w:t>
            </w:r>
          </w:p>
        </w:tc>
        <w:tc>
          <w:tcPr>
            <w:tcW w:w="0" w:type="dxa"/>
            <w:vAlign w:val="bottom"/>
          </w:tcPr>
          <w:p>
            <w:pPr>
              <w:spacing w:after="0"/>
              <w:rPr>
                <w:sz w:val="1"/>
                <w:szCs w:val="1"/>
                <w:color w:val="auto"/>
              </w:rPr>
            </w:pPr>
          </w:p>
        </w:tc>
      </w:tr>
      <w:tr>
        <w:trPr>
          <w:trHeight w:val="20"/>
        </w:trPr>
        <w:tc>
          <w:tcPr>
            <w:tcW w:w="29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1" w:lineRule="exact"/>
        <w:rPr>
          <w:sz w:val="20"/>
          <w:szCs w:val="20"/>
          <w:color w:val="auto"/>
        </w:rPr>
      </w:pPr>
    </w:p>
    <w:p>
      <w:pPr>
        <w:jc w:val="both"/>
        <w:ind w:left="300" w:hanging="298"/>
        <w:spacing w:after="0" w:line="253" w:lineRule="auto"/>
        <w:tabs>
          <w:tab w:leader="none" w:pos="288" w:val="left"/>
        </w:tabs>
        <w:numPr>
          <w:ilvl w:val="0"/>
          <w:numId w:val="12"/>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For the three and nine months ended September 30, 2026, Adjusted diluted earnings per share is calculated considering the impact of the convertible note hedges as described under "Non-GAAP Financial Measures" above. GAAP weighted-average shares outstanding were 54.4 million and 52.5 million, respectively, and the impact of the convertible note hedges was 2.9 million and 0.8 million, respectively, resulting in a non-GAAP weighted average shares outstanding of 51.5 million and 51.7 million, respectively. For the nine months ended September 30, 2025, Adjusted diluted earnings per share was calculated considering the impact of dilutive shares that were not considered for GAAP purposes as this period was in a net loss position. For the nine months ended September 30, 2025, GAAP weighted-average shares outstanding were 56.2 million and, for non-GAAP purposes, were adjusted by 0.4 million dilutive shares outstanding, resulting in non-GAAP weighted average shares outstanding of 56.6 million. There were no adjustments made to diluted weighted-average shares outstanding for any other period presented.</w:t>
      </w:r>
    </w:p>
    <w:p>
      <w:pPr>
        <w:spacing w:after="0" w:line="6" w:lineRule="exact"/>
        <w:rPr>
          <w:rFonts w:ascii="Times New Roman" w:cs="Times New Roman" w:eastAsia="Times New Roman" w:hAnsi="Times New Roman"/>
          <w:sz w:val="23"/>
          <w:szCs w:val="23"/>
          <w:color w:val="auto"/>
          <w:vertAlign w:val="superscript"/>
        </w:rPr>
      </w:pPr>
    </w:p>
    <w:p>
      <w:pPr>
        <w:jc w:val="both"/>
        <w:ind w:left="300" w:hanging="298"/>
        <w:spacing w:after="0" w:line="226" w:lineRule="exact"/>
        <w:tabs>
          <w:tab w:leader="none" w:pos="288" w:val="left"/>
        </w:tabs>
        <w:numPr>
          <w:ilvl w:val="0"/>
          <w:numId w:val="12"/>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9"/>
          <w:szCs w:val="19"/>
          <w:color w:val="auto"/>
        </w:rPr>
        <w:t>Represents the operating results of certain non</w:t>
      </w:r>
      <w:r>
        <w:rPr>
          <w:rFonts w:ascii="MS PGothic" w:cs="MS PGothic" w:eastAsia="MS PGothic" w:hAnsi="MS PGothic"/>
          <w:sz w:val="19"/>
          <w:szCs w:val="19"/>
          <w:color w:val="auto"/>
        </w:rPr>
        <w:t>‑</w:t>
      </w:r>
      <w:r>
        <w:rPr>
          <w:rFonts w:ascii="Times New Roman" w:cs="Times New Roman" w:eastAsia="Times New Roman" w:hAnsi="Times New Roman"/>
          <w:sz w:val="19"/>
          <w:szCs w:val="19"/>
          <w:color w:val="auto"/>
        </w:rPr>
        <w:t>core businesses—specifically direct fuel transportation services, lubricants, heating oil, power, and certain advisory and sustainability offerings—for periods following management's determination that such results are no longer indicative of the Company's ongoing operations. During the three and nine months ended September 30, 2025, these businesses were considered to be part of our core business portfolio and no adjustments were made to remove these businesses from our non-GAAP financial measures. During the three and nine months ended September 30, 2026, management had initiated actions to divest or exit select Land segment activities that are no longer aligned with the Company’s core strategy or profitability objectives and these businesses were in a wind</w:t>
      </w:r>
      <w:r>
        <w:rPr>
          <w:rFonts w:ascii="MS PGothic" w:cs="MS PGothic" w:eastAsia="MS PGothic" w:hAnsi="MS PGothic"/>
          <w:sz w:val="19"/>
          <w:szCs w:val="19"/>
          <w:color w:val="auto"/>
        </w:rPr>
        <w:t>‑</w:t>
      </w:r>
      <w:r>
        <w:rPr>
          <w:rFonts w:ascii="Times New Roman" w:cs="Times New Roman" w:eastAsia="Times New Roman" w:hAnsi="Times New Roman"/>
          <w:sz w:val="19"/>
          <w:szCs w:val="19"/>
          <w:color w:val="auto"/>
        </w:rPr>
        <w:t>down or divestiture phase, during which the Company continued to service existing customer obligations but ceased investing in or actively marketing the underlying products and services. Accordingly, for the three and nine months ended September 30, 2026, the operating results of these businesses are excluded from our non-GAAP financial measures. While these activities do not qualify as discontinued operations under applicable accounting guidance, management believes their operating results during the exit and divestiture period are not representative of the Company's ongoing operations and has therefore excluded them from non</w:t>
      </w:r>
      <w:r>
        <w:rPr>
          <w:rFonts w:ascii="MS PGothic" w:cs="MS PGothic" w:eastAsia="MS PGothic" w:hAnsi="MS PGothic"/>
          <w:sz w:val="19"/>
          <w:szCs w:val="19"/>
          <w:color w:val="auto"/>
        </w:rPr>
        <w:t>‑</w:t>
      </w:r>
      <w:r>
        <w:rPr>
          <w:rFonts w:ascii="Times New Roman" w:cs="Times New Roman" w:eastAsia="Times New Roman" w:hAnsi="Times New Roman"/>
          <w:sz w:val="19"/>
          <w:szCs w:val="19"/>
          <w:color w:val="auto"/>
        </w:rPr>
        <w:t>GAAP financial measures to enhance comparability and investor understanding of core business performance.</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10</w:t>
      </w:r>
    </w:p>
    <w:p>
      <w:pPr>
        <w:sectPr>
          <w:pgSz w:w="11900" w:h="16838" w:orient="portrait"/>
          <w:cols w:equalWidth="0" w:num="1">
            <w:col w:w="11240"/>
          </w:cols>
          <w:pgMar w:left="320" w:top="1297" w:right="339" w:bottom="1440" w:gutter="0" w:footer="0" w:header="0"/>
        </w:sectPr>
      </w:pPr>
    </w:p>
    <w:bookmarkStart w:id="13" w:name="page14"/>
    <w:bookmarkEnd w:id="13"/>
    <w:p>
      <w:pPr>
        <w:jc w:val="both"/>
        <w:ind w:left="300" w:hanging="298"/>
        <w:spacing w:after="0" w:line="244" w:lineRule="auto"/>
        <w:tabs>
          <w:tab w:leader="none" w:pos="288" w:val="left"/>
        </w:tabs>
        <w:numPr>
          <w:ilvl w:val="0"/>
          <w:numId w:val="13"/>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9"/>
          <w:szCs w:val="19"/>
          <w:color w:val="auto"/>
        </w:rPr>
        <w:t>Restructuring and exit costs during the three months ended September 30, 2026 were comprised of $6.2 million of charges related to our restructuring program, including severance and other compensation costs as well as transition costs associated with our global finance and accounting optimization program, and a net credit of $7.7 million associated with exit activities related to our decision to exit certain operations within the land and aviation segments that are no longer profitable or aligned with the Company's core business and corporate strategy, comprised of net gains on the sale of assets of $8.8 million and net credits associated with various legal matters and contract termination costs of $2.2 million, partially offset by severance and compensation costs of $3.2 million. Restructuring and exit costs during the nine months ended September 30, 2026 were comprised of $15.7 million of charges related to our restructuring program, including severance and other compensation costs as well as transition costs associated with our global finance and accounting optimization program, and a net credit of $1.6 million associated with exit activities related to our decision to exit certain operations within the land and aviation segments that are no longer profitable or aligned with the Company's core business and corporate strategy, comprised of net gains on the sale of assets of $17.0 million, partially offset by charges associated with various legal matters and contract termination costs of $8.1 million and severance and compensation costs of $7.3 million. Restructuring and exit costs during the three and nine months ended September 30, 2025 were principally related to our restructuring program, including severance and other compensation costs as well as transition costs associated with our global finance and accounting optimization program.</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54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740" w:type="dxa"/>
            <w:vAlign w:val="bottom"/>
            <w:gridSpan w:val="5"/>
          </w:tcPr>
          <w:p>
            <w:pPr>
              <w:ind w:left="140"/>
              <w:spacing w:after="0"/>
              <w:rPr>
                <w:sz w:val="20"/>
                <w:szCs w:val="20"/>
                <w:color w:val="auto"/>
              </w:rPr>
            </w:pPr>
            <w:r>
              <w:rPr>
                <w:rFonts w:ascii="Times New Roman" w:cs="Times New Roman" w:eastAsia="Times New Roman" w:hAnsi="Times New Roman"/>
                <w:sz w:val="17"/>
                <w:szCs w:val="17"/>
                <w:b w:val="1"/>
                <w:bCs w:val="1"/>
                <w:color w:val="auto"/>
              </w:rPr>
              <w:t>For the Three Months Ended</w:t>
            </w:r>
          </w:p>
        </w:tc>
        <w:tc>
          <w:tcPr>
            <w:tcW w:w="260" w:type="dxa"/>
            <w:vAlign w:val="bottom"/>
          </w:tcPr>
          <w:p>
            <w:pPr>
              <w:spacing w:after="0"/>
              <w:rPr>
                <w:sz w:val="17"/>
                <w:szCs w:val="17"/>
                <w:color w:val="auto"/>
              </w:rPr>
            </w:pPr>
          </w:p>
        </w:tc>
        <w:tc>
          <w:tcPr>
            <w:tcW w:w="2560" w:type="dxa"/>
            <w:vAlign w:val="bottom"/>
            <w:gridSpan w:val="4"/>
          </w:tcPr>
          <w:p>
            <w:pPr>
              <w:jc w:val="right"/>
              <w:ind w:right="295"/>
              <w:spacing w:after="0"/>
              <w:rPr>
                <w:sz w:val="20"/>
                <w:szCs w:val="20"/>
                <w:color w:val="auto"/>
              </w:rPr>
            </w:pPr>
            <w:r>
              <w:rPr>
                <w:rFonts w:ascii="Times New Roman" w:cs="Times New Roman" w:eastAsia="Times New Roman" w:hAnsi="Times New Roman"/>
                <w:sz w:val="17"/>
                <w:szCs w:val="17"/>
                <w:b w:val="1"/>
                <w:bCs w:val="1"/>
                <w:color w:val="auto"/>
              </w:rPr>
              <w:t>For the Nine Months Ended</w:t>
            </w:r>
          </w:p>
        </w:tc>
      </w:tr>
      <w:tr>
        <w:trPr>
          <w:trHeight w:val="225"/>
        </w:trPr>
        <w:tc>
          <w:tcPr>
            <w:tcW w:w="546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7"/>
                <w:szCs w:val="17"/>
                <w:b w:val="1"/>
                <w:bCs w:val="1"/>
                <w:color w:val="auto"/>
              </w:rPr>
              <w:t>September 30,</w:t>
            </w:r>
          </w:p>
        </w:tc>
        <w:tc>
          <w:tcPr>
            <w:tcW w:w="88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7"/>
                <w:szCs w:val="17"/>
                <w:b w:val="1"/>
                <w:bCs w:val="1"/>
                <w:color w:val="auto"/>
              </w:rPr>
              <w:t>September 30,</w:t>
            </w:r>
          </w:p>
        </w:tc>
        <w:tc>
          <w:tcPr>
            <w:tcW w:w="860" w:type="dxa"/>
            <w:vAlign w:val="bottom"/>
            <w:tcBorders>
              <w:bottom w:val="single" w:sz="8" w:color="auto"/>
            </w:tcBorders>
          </w:tcPr>
          <w:p>
            <w:pPr>
              <w:spacing w:after="0"/>
              <w:rPr>
                <w:sz w:val="19"/>
                <w:szCs w:val="19"/>
                <w:color w:val="auto"/>
              </w:rPr>
            </w:pPr>
          </w:p>
        </w:tc>
      </w:tr>
      <w:tr>
        <w:trPr>
          <w:trHeight w:val="223"/>
        </w:trPr>
        <w:tc>
          <w:tcPr>
            <w:tcW w:w="54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b w:val="1"/>
                <w:bCs w:val="1"/>
                <w:color w:val="auto"/>
              </w:rPr>
              <w:t>Reconciliation of GAAP to non-GAAP financial measures:</w:t>
            </w:r>
          </w:p>
        </w:tc>
        <w:tc>
          <w:tcPr>
            <w:tcW w:w="2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435"/>
              <w:spacing w:after="0"/>
              <w:rPr>
                <w:sz w:val="20"/>
                <w:szCs w:val="20"/>
                <w:color w:val="auto"/>
              </w:rPr>
            </w:pPr>
            <w:r>
              <w:rPr>
                <w:rFonts w:ascii="Times New Roman" w:cs="Times New Roman" w:eastAsia="Times New Roman" w:hAnsi="Times New Roman"/>
                <w:sz w:val="17"/>
                <w:szCs w:val="17"/>
                <w:b w:val="1"/>
                <w:bCs w:val="1"/>
                <w:color w:val="auto"/>
              </w:rPr>
              <w:t>2026</w:t>
            </w:r>
          </w:p>
        </w:tc>
        <w:tc>
          <w:tcPr>
            <w:tcW w:w="12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415"/>
              <w:spacing w:after="0"/>
              <w:rPr>
                <w:sz w:val="20"/>
                <w:szCs w:val="20"/>
                <w:color w:val="auto"/>
              </w:rPr>
            </w:pPr>
            <w:r>
              <w:rPr>
                <w:rFonts w:ascii="Times New Roman" w:cs="Times New Roman" w:eastAsia="Times New Roman" w:hAnsi="Times New Roman"/>
                <w:sz w:val="17"/>
                <w:szCs w:val="17"/>
                <w:b w:val="1"/>
                <w:bCs w:val="1"/>
                <w:color w:val="auto"/>
              </w:rPr>
              <w:t>2025</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415"/>
              <w:spacing w:after="0"/>
              <w:rPr>
                <w:sz w:val="20"/>
                <w:szCs w:val="20"/>
                <w:color w:val="auto"/>
              </w:rPr>
            </w:pPr>
            <w:r>
              <w:rPr>
                <w:rFonts w:ascii="Times New Roman" w:cs="Times New Roman" w:eastAsia="Times New Roman" w:hAnsi="Times New Roman"/>
                <w:sz w:val="17"/>
                <w:szCs w:val="17"/>
                <w:b w:val="1"/>
                <w:bCs w:val="1"/>
                <w:color w:val="auto"/>
              </w:rPr>
              <w:t>2026</w:t>
            </w:r>
          </w:p>
        </w:tc>
        <w:tc>
          <w:tcPr>
            <w:tcW w:w="12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415"/>
              <w:spacing w:after="0"/>
              <w:rPr>
                <w:sz w:val="20"/>
                <w:szCs w:val="20"/>
                <w:color w:val="auto"/>
              </w:rPr>
            </w:pPr>
            <w:r>
              <w:rPr>
                <w:rFonts w:ascii="Times New Roman" w:cs="Times New Roman" w:eastAsia="Times New Roman" w:hAnsi="Times New Roman"/>
                <w:sz w:val="17"/>
                <w:szCs w:val="17"/>
                <w:b w:val="1"/>
                <w:bCs w:val="1"/>
                <w:color w:val="auto"/>
                <w:w w:val="99"/>
              </w:rPr>
              <w:t>2025</w:t>
            </w:r>
          </w:p>
        </w:tc>
      </w:tr>
      <w:tr>
        <w:trPr>
          <w:trHeight w:val="223"/>
        </w:trPr>
        <w:tc>
          <w:tcPr>
            <w:tcW w:w="5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Net income (loss) including noncontrolling interest</w:t>
            </w:r>
          </w:p>
        </w:tc>
        <w:tc>
          <w:tcPr>
            <w:tcW w:w="22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37.9</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95"/>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28.1</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b w:val="1"/>
                <w:bCs w:val="1"/>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113.2</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95"/>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(332.2)</w:t>
            </w:r>
          </w:p>
        </w:tc>
      </w:tr>
      <w:tr>
        <w:trPr>
          <w:trHeight w:val="230"/>
        </w:trPr>
        <w:tc>
          <w:tcPr>
            <w:tcW w:w="546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Interest expense and other financing costs, net</w:t>
            </w:r>
          </w:p>
        </w:tc>
        <w:tc>
          <w:tcPr>
            <w:tcW w:w="2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30.8</w:t>
            </w: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25.9</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87.7</w:t>
            </w: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74.4</w:t>
            </w:r>
          </w:p>
        </w:tc>
      </w:tr>
      <w:tr>
        <w:trPr>
          <w:trHeight w:val="230"/>
        </w:trPr>
        <w:tc>
          <w:tcPr>
            <w:tcW w:w="54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Income tax expense (benefit)</w:t>
            </w:r>
          </w:p>
        </w:tc>
        <w:tc>
          <w:tcPr>
            <w:tcW w:w="22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18.4</w:t>
            </w:r>
          </w:p>
        </w:tc>
        <w:tc>
          <w:tcPr>
            <w:tcW w:w="12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10.7</w:t>
            </w:r>
          </w:p>
        </w:tc>
        <w:tc>
          <w:tcPr>
            <w:tcW w:w="1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41.6</w:t>
            </w:r>
          </w:p>
        </w:tc>
        <w:tc>
          <w:tcPr>
            <w:tcW w:w="12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(105.8)</w:t>
            </w:r>
          </w:p>
        </w:tc>
      </w:tr>
      <w:tr>
        <w:trPr>
          <w:trHeight w:val="230"/>
        </w:trPr>
        <w:tc>
          <w:tcPr>
            <w:tcW w:w="546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7"/>
                <w:szCs w:val="17"/>
                <w:color w:val="auto"/>
              </w:rPr>
              <w:t>Depreciation and amortization</w:t>
            </w:r>
          </w:p>
        </w:tc>
        <w:tc>
          <w:tcPr>
            <w:tcW w:w="2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21.8</w:t>
            </w:r>
          </w:p>
        </w:tc>
        <w:tc>
          <w:tcPr>
            <w:tcW w:w="120" w:type="dxa"/>
            <w:vAlign w:val="bottom"/>
            <w:tcBorders>
              <w:bottom w:val="single" w:sz="8" w:color="CCEEFF"/>
            </w:tcBorders>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23.5</w:t>
            </w:r>
          </w:p>
        </w:tc>
        <w:tc>
          <w:tcPr>
            <w:tcW w:w="12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62.0</w:t>
            </w:r>
          </w:p>
        </w:tc>
        <w:tc>
          <w:tcPr>
            <w:tcW w:w="120" w:type="dxa"/>
            <w:vAlign w:val="bottom"/>
            <w:tcBorders>
              <w:bottom w:val="single" w:sz="8" w:color="CCEEFF"/>
            </w:tcBorders>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73.0</w:t>
            </w:r>
          </w:p>
        </w:tc>
      </w:tr>
      <w:tr>
        <w:trPr>
          <w:trHeight w:val="223"/>
        </w:trPr>
        <w:tc>
          <w:tcPr>
            <w:tcW w:w="5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EBITDA</w:t>
            </w: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108.9</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88.2</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304.5</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(290.6)</w:t>
            </w:r>
          </w:p>
        </w:tc>
      </w:tr>
      <w:tr>
        <w:trPr>
          <w:trHeight w:val="230"/>
        </w:trPr>
        <w:tc>
          <w:tcPr>
            <w:tcW w:w="546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Acquisition and divestiture related expenses</w:t>
            </w:r>
          </w:p>
        </w:tc>
        <w:tc>
          <w:tcPr>
            <w:tcW w:w="2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0.3</w:t>
            </w: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0.5</w:t>
            </w: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30"/>
        </w:trPr>
        <w:tc>
          <w:tcPr>
            <w:tcW w:w="54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Non-core divestitures and business exits</w:t>
            </w:r>
          </w:p>
        </w:tc>
        <w:tc>
          <w:tcPr>
            <w:tcW w:w="22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w:t>
            </w:r>
          </w:p>
        </w:tc>
        <w:tc>
          <w:tcPr>
            <w:tcW w:w="12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8.1</w:t>
            </w:r>
          </w:p>
        </w:tc>
        <w:tc>
          <w:tcPr>
            <w:tcW w:w="12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30"/>
        </w:trPr>
        <w:tc>
          <w:tcPr>
            <w:tcW w:w="546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(Gain) loss on sale of business</w:t>
            </w:r>
          </w:p>
        </w:tc>
        <w:tc>
          <w:tcPr>
            <w:tcW w:w="2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(4.3)</w:t>
            </w: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(5.8)</w:t>
            </w: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82.3</w:t>
            </w:r>
          </w:p>
        </w:tc>
      </w:tr>
      <w:tr>
        <w:trPr>
          <w:trHeight w:val="230"/>
        </w:trPr>
        <w:tc>
          <w:tcPr>
            <w:tcW w:w="54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Goodwill and other asset impairments</w:t>
            </w:r>
          </w:p>
        </w:tc>
        <w:tc>
          <w:tcPr>
            <w:tcW w:w="22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0.9</w:t>
            </w:r>
          </w:p>
        </w:tc>
        <w:tc>
          <w:tcPr>
            <w:tcW w:w="12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w:t>
            </w:r>
          </w:p>
        </w:tc>
        <w:tc>
          <w:tcPr>
            <w:tcW w:w="12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443.1</w:t>
            </w:r>
          </w:p>
        </w:tc>
      </w:tr>
      <w:tr>
        <w:trPr>
          <w:trHeight w:val="230"/>
        </w:trPr>
        <w:tc>
          <w:tcPr>
            <w:tcW w:w="546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Integration costs</w:t>
            </w:r>
          </w:p>
        </w:tc>
        <w:tc>
          <w:tcPr>
            <w:tcW w:w="2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w:t>
            </w: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5.4</w:t>
            </w: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30"/>
        </w:trPr>
        <w:tc>
          <w:tcPr>
            <w:tcW w:w="54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Exit costs - provision for credit losses</w:t>
            </w:r>
          </w:p>
        </w:tc>
        <w:tc>
          <w:tcPr>
            <w:tcW w:w="22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23.2</w:t>
            </w:r>
          </w:p>
        </w:tc>
        <w:tc>
          <w:tcPr>
            <w:tcW w:w="12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0.5</w:t>
            </w:r>
          </w:p>
        </w:tc>
        <w:tc>
          <w:tcPr>
            <w:tcW w:w="1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26.2</w:t>
            </w:r>
          </w:p>
        </w:tc>
        <w:tc>
          <w:tcPr>
            <w:tcW w:w="12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0.5</w:t>
            </w:r>
          </w:p>
        </w:tc>
      </w:tr>
      <w:tr>
        <w:trPr>
          <w:trHeight w:val="230"/>
        </w:trPr>
        <w:tc>
          <w:tcPr>
            <w:tcW w:w="546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Finnish bid error</w:t>
            </w:r>
          </w:p>
        </w:tc>
        <w:tc>
          <w:tcPr>
            <w:tcW w:w="2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0.8</w:t>
            </w: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0.4</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6.0</w:t>
            </w: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0.4</w:t>
            </w:r>
          </w:p>
        </w:tc>
      </w:tr>
      <w:tr>
        <w:trPr>
          <w:trHeight w:val="230"/>
        </w:trPr>
        <w:tc>
          <w:tcPr>
            <w:tcW w:w="54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Restructuring and exit costs</w:t>
            </w:r>
          </w:p>
        </w:tc>
        <w:tc>
          <w:tcPr>
            <w:tcW w:w="220" w:type="dxa"/>
            <w:vAlign w:val="bottom"/>
            <w:tcBorders>
              <w:bottom w:val="single" w:sz="8" w:color="auto"/>
            </w:tcBorders>
            <w:shd w:val="clear" w:color="auto" w:fill="CCEEFF"/>
          </w:tcPr>
          <w:p>
            <w:pPr>
              <w:spacing w:after="0"/>
              <w:rPr>
                <w:sz w:val="20"/>
                <w:szCs w:val="20"/>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w:t>
            </w:r>
          </w:p>
        </w:tc>
        <w:tc>
          <w:tcPr>
            <w:tcW w:w="120" w:type="dxa"/>
            <w:vAlign w:val="bottom"/>
            <w:shd w:val="clear" w:color="auto" w:fill="CCEEFF"/>
          </w:tcPr>
          <w:p>
            <w:pPr>
              <w:spacing w:after="0"/>
              <w:rPr>
                <w:sz w:val="20"/>
                <w:szCs w:val="20"/>
                <w:color w:val="auto"/>
              </w:rPr>
            </w:pPr>
          </w:p>
        </w:tc>
        <w:tc>
          <w:tcPr>
            <w:tcW w:w="480" w:type="dxa"/>
            <w:vAlign w:val="bottom"/>
            <w:tcBorders>
              <w:bottom w:val="single" w:sz="8" w:color="auto"/>
            </w:tcBorders>
            <w:shd w:val="clear" w:color="auto" w:fill="CCEEFF"/>
          </w:tcPr>
          <w:p>
            <w:pPr>
              <w:spacing w:after="0"/>
              <w:rPr>
                <w:sz w:val="20"/>
                <w:szCs w:val="20"/>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4.9</w:t>
            </w:r>
          </w:p>
        </w:tc>
        <w:tc>
          <w:tcPr>
            <w:tcW w:w="120" w:type="dxa"/>
            <w:vAlign w:val="bottom"/>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spacing w:after="0"/>
              <w:rPr>
                <w:sz w:val="20"/>
                <w:szCs w:val="20"/>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14.1</w:t>
            </w:r>
          </w:p>
        </w:tc>
        <w:tc>
          <w:tcPr>
            <w:tcW w:w="120" w:type="dxa"/>
            <w:vAlign w:val="bottom"/>
            <w:shd w:val="clear" w:color="auto" w:fill="CCEEFF"/>
          </w:tcPr>
          <w:p>
            <w:pPr>
              <w:spacing w:after="0"/>
              <w:rPr>
                <w:sz w:val="20"/>
                <w:szCs w:val="20"/>
                <w:color w:val="auto"/>
              </w:rPr>
            </w:pPr>
          </w:p>
        </w:tc>
        <w:tc>
          <w:tcPr>
            <w:tcW w:w="480" w:type="dxa"/>
            <w:vAlign w:val="bottom"/>
            <w:tcBorders>
              <w:bottom w:val="single" w:sz="8" w:color="auto"/>
            </w:tcBorders>
            <w:shd w:val="clear" w:color="auto" w:fill="CCEEFF"/>
          </w:tcPr>
          <w:p>
            <w:pPr>
              <w:spacing w:after="0"/>
              <w:rPr>
                <w:sz w:val="20"/>
                <w:szCs w:val="20"/>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25.9</w:t>
            </w:r>
          </w:p>
        </w:tc>
      </w:tr>
      <w:tr>
        <w:trPr>
          <w:trHeight w:val="223"/>
        </w:trPr>
        <w:tc>
          <w:tcPr>
            <w:tcW w:w="546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Adjusted EBITDA</w:t>
            </w:r>
          </w:p>
        </w:tc>
        <w:tc>
          <w:tcPr>
            <w:tcW w:w="22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127.1</w:t>
            </w:r>
          </w:p>
        </w:tc>
        <w:tc>
          <w:tcPr>
            <w:tcW w:w="120" w:type="dxa"/>
            <w:vAlign w:val="bottom"/>
          </w:tcPr>
          <w:p>
            <w:pPr>
              <w:spacing w:after="0"/>
              <w:rPr>
                <w:sz w:val="19"/>
                <w:szCs w:val="19"/>
                <w:color w:val="auto"/>
              </w:rPr>
            </w:pPr>
          </w:p>
        </w:tc>
        <w:tc>
          <w:tcPr>
            <w:tcW w:w="480" w:type="dxa"/>
            <w:vAlign w:val="bottom"/>
            <w:tcBorders>
              <w:bottom w:val="single" w:sz="8" w:color="auto"/>
            </w:tcBorders>
          </w:tcPr>
          <w:p>
            <w:pPr>
              <w:jc w:val="right"/>
              <w:ind w:right="295"/>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94.0</w:t>
            </w:r>
          </w:p>
        </w:tc>
        <w:tc>
          <w:tcPr>
            <w:tcW w:w="120" w:type="dxa"/>
            <w:vAlign w:val="bottom"/>
          </w:tcPr>
          <w:p>
            <w:pPr>
              <w:spacing w:after="0"/>
              <w:rPr>
                <w:sz w:val="19"/>
                <w:szCs w:val="19"/>
                <w:color w:val="auto"/>
              </w:rPr>
            </w:pPr>
          </w:p>
        </w:tc>
        <w:tc>
          <w:tcPr>
            <w:tcW w:w="260" w:type="dxa"/>
            <w:vAlign w:val="bottom"/>
            <w:tcBorders>
              <w:bottom w:val="single" w:sz="8" w:color="auto"/>
            </w:tcBorders>
          </w:tcPr>
          <w:p>
            <w:pPr>
              <w:jc w:val="right"/>
              <w:ind w:right="55"/>
              <w:spacing w:after="0"/>
              <w:rPr>
                <w:sz w:val="20"/>
                <w:szCs w:val="20"/>
                <w:color w:val="auto"/>
              </w:rPr>
            </w:pPr>
            <w:r>
              <w:rPr>
                <w:rFonts w:ascii="Times New Roman" w:cs="Times New Roman" w:eastAsia="Times New Roman" w:hAnsi="Times New Roman"/>
                <w:sz w:val="17"/>
                <w:szCs w:val="17"/>
                <w:b w:val="1"/>
                <w:bCs w:val="1"/>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357.2</w:t>
            </w:r>
          </w:p>
        </w:tc>
        <w:tc>
          <w:tcPr>
            <w:tcW w:w="120" w:type="dxa"/>
            <w:vAlign w:val="bottom"/>
          </w:tcPr>
          <w:p>
            <w:pPr>
              <w:spacing w:after="0"/>
              <w:rPr>
                <w:sz w:val="19"/>
                <w:szCs w:val="19"/>
                <w:color w:val="auto"/>
              </w:rPr>
            </w:pPr>
          </w:p>
        </w:tc>
        <w:tc>
          <w:tcPr>
            <w:tcW w:w="480" w:type="dxa"/>
            <w:vAlign w:val="bottom"/>
            <w:tcBorders>
              <w:bottom w:val="single" w:sz="8" w:color="auto"/>
            </w:tcBorders>
          </w:tcPr>
          <w:p>
            <w:pPr>
              <w:jc w:val="right"/>
              <w:ind w:right="295"/>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261.6</w:t>
            </w:r>
          </w:p>
        </w:tc>
      </w:tr>
      <w:tr>
        <w:trPr>
          <w:trHeight w:val="20"/>
        </w:trPr>
        <w:tc>
          <w:tcPr>
            <w:tcW w:w="54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1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11</w:t>
      </w:r>
    </w:p>
    <w:p>
      <w:pPr>
        <w:sectPr>
          <w:pgSz w:w="11900" w:h="16838" w:orient="portrait"/>
          <w:cols w:equalWidth="0" w:num="1">
            <w:col w:w="11240"/>
          </w:cols>
          <w:pgMar w:left="320" w:top="1297" w:right="339" w:bottom="1440" w:gutter="0" w:footer="0" w:header="0"/>
        </w:sectPr>
      </w:pPr>
    </w:p>
    <w:bookmarkStart w:id="14" w:name="page15"/>
    <w:bookmarkEnd w:id="14"/>
    <w:tbl>
      <w:tblPr>
        <w:tblLayout w:type="fixed"/>
        <w:tblInd w:w="0" w:type="dxa"/>
        <w:tblCellMar>
          <w:top w:w="0" w:type="dxa"/>
          <w:left w:w="0" w:type="dxa"/>
          <w:bottom w:w="0" w:type="dxa"/>
          <w:right w:w="0" w:type="dxa"/>
        </w:tblCellMar>
      </w:tblPr>
      <w:tr>
        <w:trPr>
          <w:trHeight w:val="225"/>
        </w:trPr>
        <w:tc>
          <w:tcPr>
            <w:tcW w:w="24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4160" w:type="dxa"/>
            <w:vAlign w:val="bottom"/>
            <w:tcBorders>
              <w:bottom w:val="single" w:sz="8" w:color="auto"/>
            </w:tcBorders>
            <w:gridSpan w:val="13"/>
          </w:tcPr>
          <w:p>
            <w:pPr>
              <w:jc w:val="center"/>
              <w:ind w:left="35"/>
              <w:spacing w:after="0"/>
              <w:rPr>
                <w:sz w:val="20"/>
                <w:szCs w:val="20"/>
                <w:color w:val="auto"/>
              </w:rPr>
            </w:pPr>
            <w:r>
              <w:rPr>
                <w:rFonts w:ascii="Times New Roman" w:cs="Times New Roman" w:eastAsia="Times New Roman" w:hAnsi="Times New Roman"/>
                <w:sz w:val="17"/>
                <w:szCs w:val="17"/>
                <w:b w:val="1"/>
                <w:bCs w:val="1"/>
                <w:color w:val="auto"/>
                <w:w w:val="99"/>
              </w:rPr>
              <w:t>For the Three Months Ended September 30,</w:t>
            </w:r>
          </w:p>
        </w:tc>
        <w:tc>
          <w:tcPr>
            <w:tcW w:w="14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r>
      <w:tr>
        <w:trPr>
          <w:trHeight w:val="223"/>
        </w:trPr>
        <w:tc>
          <w:tcPr>
            <w:tcW w:w="24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gridSpan w:val="3"/>
          </w:tcPr>
          <w:p>
            <w:pPr>
              <w:jc w:val="center"/>
              <w:ind w:right="535"/>
              <w:spacing w:after="0"/>
              <w:rPr>
                <w:sz w:val="20"/>
                <w:szCs w:val="20"/>
                <w:color w:val="auto"/>
              </w:rPr>
            </w:pPr>
            <w:r>
              <w:rPr>
                <w:rFonts w:ascii="Times New Roman" w:cs="Times New Roman" w:eastAsia="Times New Roman" w:hAnsi="Times New Roman"/>
                <w:sz w:val="17"/>
                <w:szCs w:val="17"/>
                <w:b w:val="1"/>
                <w:bCs w:val="1"/>
                <w:color w:val="auto"/>
                <w:w w:val="99"/>
              </w:rPr>
              <w:t>2026</w:t>
            </w:r>
          </w:p>
        </w:tc>
        <w:tc>
          <w:tcPr>
            <w:tcW w:w="18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gridSpan w:val="3"/>
          </w:tcPr>
          <w:p>
            <w:pPr>
              <w:jc w:val="center"/>
              <w:ind w:right="355"/>
              <w:spacing w:after="0"/>
              <w:rPr>
                <w:sz w:val="20"/>
                <w:szCs w:val="20"/>
                <w:color w:val="auto"/>
              </w:rPr>
            </w:pPr>
            <w:r>
              <w:rPr>
                <w:rFonts w:ascii="Times New Roman" w:cs="Times New Roman" w:eastAsia="Times New Roman" w:hAnsi="Times New Roman"/>
                <w:sz w:val="17"/>
                <w:szCs w:val="17"/>
                <w:b w:val="1"/>
                <w:bCs w:val="1"/>
                <w:color w:val="auto"/>
                <w:w w:val="99"/>
              </w:rPr>
              <w:t>2025</w:t>
            </w:r>
          </w:p>
        </w:tc>
        <w:tc>
          <w:tcPr>
            <w:tcW w:w="6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r>
      <w:tr>
        <w:trPr>
          <w:trHeight w:val="390"/>
        </w:trPr>
        <w:tc>
          <w:tcPr>
            <w:tcW w:w="2480" w:type="dxa"/>
            <w:vAlign w:val="bottom"/>
          </w:tcPr>
          <w:p>
            <w:pPr>
              <w:spacing w:after="0"/>
              <w:rPr>
                <w:sz w:val="24"/>
                <w:szCs w:val="24"/>
                <w:color w:val="auto"/>
              </w:rPr>
            </w:pPr>
          </w:p>
        </w:tc>
        <w:tc>
          <w:tcPr>
            <w:tcW w:w="104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7"/>
                <w:szCs w:val="17"/>
                <w:color w:val="auto"/>
              </w:rPr>
              <w:t>Land Segment</w:t>
            </w:r>
          </w:p>
        </w:tc>
        <w:tc>
          <w:tcPr>
            <w:tcW w:w="1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gridSpan w:val="3"/>
          </w:tcPr>
          <w:p>
            <w:pPr>
              <w:ind w:left="40"/>
              <w:spacing w:after="0"/>
              <w:rPr>
                <w:sz w:val="20"/>
                <w:szCs w:val="20"/>
                <w:color w:val="auto"/>
              </w:rPr>
            </w:pPr>
            <w:r>
              <w:rPr>
                <w:rFonts w:ascii="Times New Roman" w:cs="Times New Roman" w:eastAsia="Times New Roman" w:hAnsi="Times New Roman"/>
                <w:sz w:val="17"/>
                <w:szCs w:val="17"/>
                <w:color w:val="auto"/>
              </w:rPr>
              <w:t>Consolidated</w:t>
            </w:r>
          </w:p>
        </w:tc>
        <w:tc>
          <w:tcPr>
            <w:tcW w:w="1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auto"/>
              </w:rPr>
              <w:t>Land Segment</w:t>
            </w:r>
          </w:p>
        </w:tc>
        <w:tc>
          <w:tcPr>
            <w:tcW w:w="12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gridSpan w:val="5"/>
          </w:tcPr>
          <w:p>
            <w:pPr>
              <w:ind w:left="40"/>
              <w:spacing w:after="0"/>
              <w:rPr>
                <w:sz w:val="20"/>
                <w:szCs w:val="20"/>
                <w:color w:val="auto"/>
              </w:rPr>
            </w:pPr>
            <w:r>
              <w:rPr>
                <w:rFonts w:ascii="Times New Roman" w:cs="Times New Roman" w:eastAsia="Times New Roman" w:hAnsi="Times New Roman"/>
                <w:sz w:val="17"/>
                <w:szCs w:val="17"/>
                <w:color w:val="auto"/>
              </w:rPr>
              <w:t>Consolidated</w:t>
            </w:r>
          </w:p>
        </w:tc>
        <w:tc>
          <w:tcPr>
            <w:tcW w:w="1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r>
      <w:tr>
        <w:trPr>
          <w:trHeight w:val="351"/>
        </w:trPr>
        <w:tc>
          <w:tcPr>
            <w:tcW w:w="248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Reconciliation of GAAP to</w:t>
            </w:r>
          </w:p>
        </w:tc>
        <w:tc>
          <w:tcPr>
            <w:tcW w:w="140" w:type="dxa"/>
            <w:vAlign w:val="bottom"/>
          </w:tcPr>
          <w:p>
            <w:pPr>
              <w:spacing w:after="0"/>
              <w:rPr>
                <w:sz w:val="24"/>
                <w:szCs w:val="24"/>
                <w:color w:val="auto"/>
              </w:rPr>
            </w:pPr>
          </w:p>
        </w:tc>
        <w:tc>
          <w:tcPr>
            <w:tcW w:w="1020" w:type="dxa"/>
            <w:vAlign w:val="bottom"/>
            <w:gridSpan w:val="2"/>
          </w:tcPr>
          <w:p>
            <w:pPr>
              <w:ind w:left="40"/>
              <w:spacing w:after="0"/>
              <w:rPr>
                <w:sz w:val="20"/>
                <w:szCs w:val="20"/>
                <w:color w:val="auto"/>
              </w:rPr>
            </w:pPr>
            <w:r>
              <w:rPr>
                <w:rFonts w:ascii="Times New Roman" w:cs="Times New Roman" w:eastAsia="Times New Roman" w:hAnsi="Times New Roman"/>
                <w:sz w:val="17"/>
                <w:szCs w:val="17"/>
                <w:color w:val="auto"/>
              </w:rPr>
              <w:t>Operating</w:t>
            </w:r>
          </w:p>
        </w:tc>
        <w:tc>
          <w:tcPr>
            <w:tcW w:w="160" w:type="dxa"/>
            <w:vAlign w:val="bottom"/>
          </w:tcPr>
          <w:p>
            <w:pPr>
              <w:spacing w:after="0"/>
              <w:rPr>
                <w:sz w:val="24"/>
                <w:szCs w:val="24"/>
                <w:color w:val="auto"/>
              </w:rPr>
            </w:pPr>
          </w:p>
        </w:tc>
        <w:tc>
          <w:tcPr>
            <w:tcW w:w="640" w:type="dxa"/>
            <w:vAlign w:val="bottom"/>
          </w:tcPr>
          <w:p>
            <w:pPr>
              <w:jc w:val="right"/>
              <w:ind w:right="115"/>
              <w:spacing w:after="0"/>
              <w:rPr>
                <w:sz w:val="20"/>
                <w:szCs w:val="20"/>
                <w:color w:val="auto"/>
              </w:rPr>
            </w:pPr>
            <w:r>
              <w:rPr>
                <w:rFonts w:ascii="Times New Roman" w:cs="Times New Roman" w:eastAsia="Times New Roman" w:hAnsi="Times New Roman"/>
                <w:sz w:val="17"/>
                <w:szCs w:val="17"/>
                <w:color w:val="auto"/>
              </w:rPr>
              <w:t>Gross</w:t>
            </w: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gridSpan w:val="3"/>
          </w:tcPr>
          <w:p>
            <w:pPr>
              <w:ind w:left="40"/>
              <w:spacing w:after="0"/>
              <w:rPr>
                <w:sz w:val="20"/>
                <w:szCs w:val="20"/>
                <w:color w:val="auto"/>
              </w:rPr>
            </w:pPr>
            <w:r>
              <w:rPr>
                <w:rFonts w:ascii="Times New Roman" w:cs="Times New Roman" w:eastAsia="Times New Roman" w:hAnsi="Times New Roman"/>
                <w:sz w:val="17"/>
                <w:szCs w:val="17"/>
                <w:color w:val="auto"/>
              </w:rPr>
              <w:t>Operating</w:t>
            </w:r>
          </w:p>
        </w:tc>
        <w:tc>
          <w:tcPr>
            <w:tcW w:w="140" w:type="dxa"/>
            <w:vAlign w:val="bottom"/>
          </w:tcPr>
          <w:p>
            <w:pPr>
              <w:spacing w:after="0"/>
              <w:rPr>
                <w:sz w:val="24"/>
                <w:szCs w:val="24"/>
                <w:color w:val="auto"/>
              </w:rPr>
            </w:pPr>
          </w:p>
        </w:tc>
        <w:tc>
          <w:tcPr>
            <w:tcW w:w="1020" w:type="dxa"/>
            <w:vAlign w:val="bottom"/>
            <w:gridSpan w:val="2"/>
          </w:tcPr>
          <w:p>
            <w:pPr>
              <w:ind w:left="40"/>
              <w:spacing w:after="0"/>
              <w:rPr>
                <w:sz w:val="20"/>
                <w:szCs w:val="20"/>
                <w:color w:val="auto"/>
              </w:rPr>
            </w:pPr>
            <w:r>
              <w:rPr>
                <w:rFonts w:ascii="Times New Roman" w:cs="Times New Roman" w:eastAsia="Times New Roman" w:hAnsi="Times New Roman"/>
                <w:sz w:val="17"/>
                <w:szCs w:val="17"/>
                <w:color w:val="auto"/>
              </w:rPr>
              <w:t>Operating</w:t>
            </w: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Operating</w:t>
            </w:r>
          </w:p>
        </w:tc>
        <w:tc>
          <w:tcPr>
            <w:tcW w:w="220" w:type="dxa"/>
            <w:vAlign w:val="bottom"/>
          </w:tcPr>
          <w:p>
            <w:pPr>
              <w:spacing w:after="0"/>
              <w:rPr>
                <w:sz w:val="24"/>
                <w:szCs w:val="24"/>
                <w:color w:val="auto"/>
              </w:rPr>
            </w:pPr>
          </w:p>
        </w:tc>
        <w:tc>
          <w:tcPr>
            <w:tcW w:w="600" w:type="dxa"/>
            <w:vAlign w:val="bottom"/>
            <w:gridSpan w:val="2"/>
          </w:tcPr>
          <w:p>
            <w:pPr>
              <w:jc w:val="center"/>
              <w:ind w:right="115"/>
              <w:spacing w:after="0"/>
              <w:rPr>
                <w:sz w:val="20"/>
                <w:szCs w:val="20"/>
                <w:color w:val="auto"/>
              </w:rPr>
            </w:pPr>
            <w:r>
              <w:rPr>
                <w:rFonts w:ascii="Times New Roman" w:cs="Times New Roman" w:eastAsia="Times New Roman" w:hAnsi="Times New Roman"/>
                <w:sz w:val="17"/>
                <w:szCs w:val="17"/>
                <w:color w:val="auto"/>
              </w:rPr>
              <w:t>Gross</w:t>
            </w: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40" w:type="dxa"/>
            <w:vAlign w:val="bottom"/>
            <w:gridSpan w:val="5"/>
          </w:tcPr>
          <w:p>
            <w:pPr>
              <w:ind w:left="40"/>
              <w:spacing w:after="0"/>
              <w:rPr>
                <w:sz w:val="20"/>
                <w:szCs w:val="20"/>
                <w:color w:val="auto"/>
              </w:rPr>
            </w:pPr>
            <w:r>
              <w:rPr>
                <w:rFonts w:ascii="Times New Roman" w:cs="Times New Roman" w:eastAsia="Times New Roman" w:hAnsi="Times New Roman"/>
                <w:sz w:val="17"/>
                <w:szCs w:val="17"/>
                <w:color w:val="auto"/>
              </w:rPr>
              <w:t>Operating</w:t>
            </w:r>
          </w:p>
        </w:tc>
        <w:tc>
          <w:tcPr>
            <w:tcW w:w="160" w:type="dxa"/>
            <w:vAlign w:val="bottom"/>
          </w:tcPr>
          <w:p>
            <w:pPr>
              <w:spacing w:after="0"/>
              <w:rPr>
                <w:sz w:val="24"/>
                <w:szCs w:val="24"/>
                <w:color w:val="auto"/>
              </w:rPr>
            </w:pPr>
          </w:p>
        </w:tc>
        <w:tc>
          <w:tcPr>
            <w:tcW w:w="8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Operating</w:t>
            </w:r>
          </w:p>
        </w:tc>
      </w:tr>
      <w:tr>
        <w:trPr>
          <w:trHeight w:val="228"/>
        </w:trPr>
        <w:tc>
          <w:tcPr>
            <w:tcW w:w="24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b w:val="1"/>
                <w:bCs w:val="1"/>
                <w:color w:val="auto"/>
              </w:rPr>
              <w:t>non-GAAP financial measures:</w:t>
            </w:r>
          </w:p>
        </w:tc>
        <w:tc>
          <w:tcPr>
            <w:tcW w:w="104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7"/>
                <w:szCs w:val="17"/>
                <w:color w:val="auto"/>
              </w:rPr>
              <w:t>Income (Loss)</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ind w:right="115"/>
              <w:spacing w:after="0"/>
              <w:rPr>
                <w:sz w:val="20"/>
                <w:szCs w:val="20"/>
                <w:color w:val="auto"/>
              </w:rPr>
            </w:pPr>
            <w:r>
              <w:rPr>
                <w:rFonts w:ascii="Times New Roman" w:cs="Times New Roman" w:eastAsia="Times New Roman" w:hAnsi="Times New Roman"/>
                <w:sz w:val="17"/>
                <w:szCs w:val="17"/>
                <w:color w:val="auto"/>
              </w:rPr>
              <w:t>Profit</w:t>
            </w:r>
          </w:p>
        </w:tc>
        <w:tc>
          <w:tcPr>
            <w:tcW w:w="14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7"/>
                <w:szCs w:val="17"/>
                <w:color w:val="auto"/>
              </w:rPr>
              <w:t>Expenses</w:t>
            </w:r>
          </w:p>
        </w:tc>
        <w:tc>
          <w:tcPr>
            <w:tcW w:w="120" w:type="dxa"/>
            <w:vAlign w:val="bottom"/>
            <w:tcBorders>
              <w:bottom w:val="single" w:sz="8" w:color="CCEEFF"/>
            </w:tcBorders>
          </w:tcPr>
          <w:p>
            <w:pPr>
              <w:spacing w:after="0"/>
              <w:rPr>
                <w:sz w:val="19"/>
                <w:szCs w:val="19"/>
                <w:color w:val="auto"/>
              </w:rPr>
            </w:pPr>
          </w:p>
        </w:tc>
        <w:tc>
          <w:tcPr>
            <w:tcW w:w="104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7"/>
                <w:szCs w:val="17"/>
                <w:color w:val="auto"/>
              </w:rPr>
              <w:t>Income (Loss)</w:t>
            </w:r>
          </w:p>
        </w:tc>
        <w:tc>
          <w:tcPr>
            <w:tcW w:w="12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auto"/>
              </w:rPr>
              <w:t>Income (Loss)</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gridSpan w:val="2"/>
          </w:tcPr>
          <w:p>
            <w:pPr>
              <w:jc w:val="center"/>
              <w:ind w:right="115"/>
              <w:spacing w:after="0"/>
              <w:rPr>
                <w:sz w:val="20"/>
                <w:szCs w:val="20"/>
                <w:color w:val="auto"/>
              </w:rPr>
            </w:pPr>
            <w:r>
              <w:rPr>
                <w:rFonts w:ascii="Times New Roman" w:cs="Times New Roman" w:eastAsia="Times New Roman" w:hAnsi="Times New Roman"/>
                <w:sz w:val="17"/>
                <w:szCs w:val="17"/>
                <w:color w:val="auto"/>
              </w:rPr>
              <w:t>Profit</w:t>
            </w:r>
          </w:p>
        </w:tc>
        <w:tc>
          <w:tcPr>
            <w:tcW w:w="14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gridSpan w:val="4"/>
          </w:tcPr>
          <w:p>
            <w:pPr>
              <w:ind w:left="60"/>
              <w:spacing w:after="0"/>
              <w:rPr>
                <w:sz w:val="20"/>
                <w:szCs w:val="20"/>
                <w:color w:val="auto"/>
              </w:rPr>
            </w:pPr>
            <w:r>
              <w:rPr>
                <w:rFonts w:ascii="Times New Roman" w:cs="Times New Roman" w:eastAsia="Times New Roman" w:hAnsi="Times New Roman"/>
                <w:sz w:val="17"/>
                <w:szCs w:val="17"/>
                <w:color w:val="auto"/>
              </w:rPr>
              <w:t>Expenses</w:t>
            </w:r>
          </w:p>
        </w:tc>
        <w:tc>
          <w:tcPr>
            <w:tcW w:w="140" w:type="dxa"/>
            <w:vAlign w:val="bottom"/>
            <w:tcBorders>
              <w:bottom w:val="single" w:sz="8" w:color="CCEEFF"/>
            </w:tcBorders>
          </w:tcPr>
          <w:p>
            <w:pPr>
              <w:spacing w:after="0"/>
              <w:rPr>
                <w:sz w:val="19"/>
                <w:szCs w:val="19"/>
                <w:color w:val="auto"/>
              </w:rPr>
            </w:pPr>
          </w:p>
        </w:tc>
        <w:tc>
          <w:tcPr>
            <w:tcW w:w="104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7"/>
                <w:szCs w:val="17"/>
                <w:color w:val="auto"/>
              </w:rPr>
              <w:t>Income (Loss)</w:t>
            </w:r>
          </w:p>
        </w:tc>
      </w:tr>
      <w:tr>
        <w:trPr>
          <w:trHeight w:val="226"/>
        </w:trPr>
        <w:tc>
          <w:tcPr>
            <w:tcW w:w="2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GAAP measure</w:t>
            </w:r>
          </w:p>
        </w:tc>
        <w:tc>
          <w:tcPr>
            <w:tcW w:w="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27.8</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288.1</w:t>
            </w:r>
          </w:p>
        </w:tc>
        <w:tc>
          <w:tcPr>
            <w:tcW w:w="280" w:type="dxa"/>
            <w:vAlign w:val="bottom"/>
            <w:gridSpan w:val="2"/>
            <w:shd w:val="clear" w:color="auto" w:fill="CCEEFF"/>
          </w:tcPr>
          <w:p>
            <w:pPr>
              <w:jc w:val="center"/>
              <w:ind w:left="35"/>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9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b w:val="1"/>
                <w:bCs w:val="1"/>
                <w:color w:val="auto"/>
              </w:rPr>
              <w:t>208.0</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80.1</w:t>
            </w:r>
          </w:p>
        </w:tc>
        <w:tc>
          <w:tcPr>
            <w:tcW w:w="120" w:type="dxa"/>
            <w:vAlign w:val="bottom"/>
            <w:shd w:val="clear" w:color="auto" w:fill="CCEEFF"/>
          </w:tcPr>
          <w:p>
            <w:pPr>
              <w:spacing w:after="0"/>
              <w:rPr>
                <w:sz w:val="19"/>
                <w:szCs w:val="19"/>
                <w:color w:val="auto"/>
              </w:rPr>
            </w:pPr>
          </w:p>
        </w:tc>
        <w:tc>
          <w:tcPr>
            <w:tcW w:w="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11.7</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b w:val="1"/>
                <w:bCs w:val="1"/>
                <w:color w:val="auto"/>
              </w:rPr>
              <w:t>$</w:t>
            </w:r>
          </w:p>
        </w:tc>
        <w:tc>
          <w:tcPr>
            <w:tcW w:w="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249.6</w:t>
            </w:r>
          </w:p>
        </w:tc>
        <w:tc>
          <w:tcPr>
            <w:tcW w:w="280" w:type="dxa"/>
            <w:vAlign w:val="bottom"/>
            <w:gridSpan w:val="2"/>
            <w:shd w:val="clear" w:color="auto" w:fill="CCEEFF"/>
          </w:tcPr>
          <w:p>
            <w:pPr>
              <w:jc w:val="center"/>
              <w:ind w:left="35"/>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900" w:type="dxa"/>
            <w:vAlign w:val="bottom"/>
            <w:gridSpan w:val="4"/>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b w:val="1"/>
                <w:bCs w:val="1"/>
                <w:color w:val="auto"/>
              </w:rPr>
              <w:t>186.8</w:t>
            </w:r>
          </w:p>
        </w:tc>
        <w:tc>
          <w:tcPr>
            <w:tcW w:w="140" w:type="dxa"/>
            <w:vAlign w:val="bottom"/>
            <w:shd w:val="clear" w:color="auto" w:fill="CCEEFF"/>
          </w:tcPr>
          <w:p>
            <w:pPr>
              <w:spacing w:after="0"/>
              <w:rPr>
                <w:sz w:val="19"/>
                <w:szCs w:val="19"/>
                <w:color w:val="auto"/>
              </w:rPr>
            </w:pPr>
          </w:p>
        </w:tc>
        <w:tc>
          <w:tcPr>
            <w:tcW w:w="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62.9</w:t>
            </w:r>
          </w:p>
        </w:tc>
      </w:tr>
      <w:tr>
        <w:trPr>
          <w:trHeight w:val="179"/>
        </w:trPr>
        <w:tc>
          <w:tcPr>
            <w:tcW w:w="2480" w:type="dxa"/>
            <w:vAlign w:val="bottom"/>
          </w:tcPr>
          <w:p>
            <w:pPr>
              <w:ind w:left="120"/>
              <w:spacing w:after="0" w:line="180" w:lineRule="exact"/>
              <w:rPr>
                <w:sz w:val="20"/>
                <w:szCs w:val="20"/>
                <w:color w:val="auto"/>
              </w:rPr>
            </w:pPr>
            <w:r>
              <w:rPr>
                <w:rFonts w:ascii="Times New Roman" w:cs="Times New Roman" w:eastAsia="Times New Roman" w:hAnsi="Times New Roman"/>
                <w:sz w:val="17"/>
                <w:szCs w:val="17"/>
                <w:color w:val="auto"/>
              </w:rPr>
              <w:t>Acquisition and divestiture</w:t>
            </w:r>
          </w:p>
        </w:tc>
        <w:tc>
          <w:tcPr>
            <w:tcW w:w="1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80" w:type="dxa"/>
            <w:vAlign w:val="bottom"/>
          </w:tcPr>
          <w:p>
            <w:pPr>
              <w:spacing w:after="0"/>
              <w:rPr>
                <w:sz w:val="15"/>
                <w:szCs w:val="15"/>
                <w:color w:val="auto"/>
              </w:rPr>
            </w:pPr>
          </w:p>
        </w:tc>
      </w:tr>
      <w:tr>
        <w:trPr>
          <w:trHeight w:val="230"/>
        </w:trPr>
        <w:tc>
          <w:tcPr>
            <w:tcW w:w="248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related expenses</w:t>
            </w:r>
          </w:p>
        </w:tc>
        <w:tc>
          <w:tcPr>
            <w:tcW w:w="140" w:type="dxa"/>
            <w:vAlign w:val="bottom"/>
          </w:tcPr>
          <w:p>
            <w:pPr>
              <w:spacing w:after="0"/>
              <w:rPr>
                <w:sz w:val="20"/>
                <w:szCs w:val="20"/>
                <w:color w:val="auto"/>
              </w:rPr>
            </w:pPr>
          </w:p>
        </w:tc>
        <w:tc>
          <w:tcPr>
            <w:tcW w:w="102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(0.3)</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0.3</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40" w:type="dxa"/>
            <w:vAlign w:val="bottom"/>
            <w:gridSpan w:val="3"/>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179"/>
        </w:trPr>
        <w:tc>
          <w:tcPr>
            <w:tcW w:w="2480" w:type="dxa"/>
            <w:vAlign w:val="bottom"/>
            <w:shd w:val="clear" w:color="auto" w:fill="CCEEFF"/>
          </w:tcPr>
          <w:p>
            <w:pPr>
              <w:ind w:left="120"/>
              <w:spacing w:after="0" w:line="180" w:lineRule="exact"/>
              <w:rPr>
                <w:sz w:val="20"/>
                <w:szCs w:val="20"/>
                <w:color w:val="auto"/>
              </w:rPr>
            </w:pPr>
            <w:r>
              <w:rPr>
                <w:rFonts w:ascii="Times New Roman" w:cs="Times New Roman" w:eastAsia="Times New Roman" w:hAnsi="Times New Roman"/>
                <w:sz w:val="17"/>
                <w:szCs w:val="17"/>
                <w:color w:val="auto"/>
              </w:rPr>
              <w:t>Non-core divestitures and</w:t>
            </w:r>
          </w:p>
        </w:tc>
        <w:tc>
          <w:tcPr>
            <w:tcW w:w="14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r>
      <w:tr>
        <w:trPr>
          <w:trHeight w:val="230"/>
        </w:trPr>
        <w:tc>
          <w:tcPr>
            <w:tcW w:w="24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business exits</w:t>
            </w:r>
          </w:p>
        </w:tc>
        <w:tc>
          <w:tcPr>
            <w:tcW w:w="14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(9.2)</w:t>
            </w:r>
          </w:p>
        </w:tc>
        <w:tc>
          <w:tcPr>
            <w:tcW w:w="1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(6.6)</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w:t>
            </w:r>
          </w:p>
        </w:tc>
        <w:tc>
          <w:tcPr>
            <w:tcW w:w="1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44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179"/>
        </w:trPr>
        <w:tc>
          <w:tcPr>
            <w:tcW w:w="2480" w:type="dxa"/>
            <w:vAlign w:val="bottom"/>
          </w:tcPr>
          <w:p>
            <w:pPr>
              <w:ind w:left="120"/>
              <w:spacing w:after="0" w:line="180" w:lineRule="exact"/>
              <w:rPr>
                <w:sz w:val="20"/>
                <w:szCs w:val="20"/>
                <w:color w:val="auto"/>
              </w:rPr>
            </w:pPr>
            <w:r>
              <w:rPr>
                <w:rFonts w:ascii="Times New Roman" w:cs="Times New Roman" w:eastAsia="Times New Roman" w:hAnsi="Times New Roman"/>
                <w:sz w:val="17"/>
                <w:szCs w:val="17"/>
                <w:color w:val="auto"/>
              </w:rPr>
              <w:t>Goodwill and other asset</w:t>
            </w:r>
          </w:p>
        </w:tc>
        <w:tc>
          <w:tcPr>
            <w:tcW w:w="1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80" w:type="dxa"/>
            <w:vAlign w:val="bottom"/>
          </w:tcPr>
          <w:p>
            <w:pPr>
              <w:spacing w:after="0"/>
              <w:rPr>
                <w:sz w:val="15"/>
                <w:szCs w:val="15"/>
                <w:color w:val="auto"/>
              </w:rPr>
            </w:pPr>
          </w:p>
        </w:tc>
      </w:tr>
      <w:tr>
        <w:trPr>
          <w:trHeight w:val="230"/>
        </w:trPr>
        <w:tc>
          <w:tcPr>
            <w:tcW w:w="248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impairments</w:t>
            </w:r>
          </w:p>
        </w:tc>
        <w:tc>
          <w:tcPr>
            <w:tcW w:w="1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0.9</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(0.9)</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0.9</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40" w:type="dxa"/>
            <w:vAlign w:val="bottom"/>
            <w:gridSpan w:val="3"/>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30"/>
        </w:trPr>
        <w:tc>
          <w:tcPr>
            <w:tcW w:w="24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Integration costs</w:t>
            </w:r>
          </w:p>
        </w:tc>
        <w:tc>
          <w:tcPr>
            <w:tcW w:w="14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shd w:val="clear" w:color="auto" w:fill="CCEEFF"/>
          </w:tcPr>
          <w:p>
            <w:pPr>
              <w:spacing w:after="0"/>
              <w:rPr>
                <w:sz w:val="20"/>
                <w:szCs w:val="20"/>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(1.3)</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w:t>
            </w:r>
          </w:p>
        </w:tc>
        <w:tc>
          <w:tcPr>
            <w:tcW w:w="1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44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179"/>
        </w:trPr>
        <w:tc>
          <w:tcPr>
            <w:tcW w:w="2480" w:type="dxa"/>
            <w:vAlign w:val="bottom"/>
          </w:tcPr>
          <w:p>
            <w:pPr>
              <w:ind w:left="120"/>
              <w:spacing w:after="0" w:line="180" w:lineRule="exact"/>
              <w:rPr>
                <w:sz w:val="20"/>
                <w:szCs w:val="20"/>
                <w:color w:val="auto"/>
              </w:rPr>
            </w:pPr>
            <w:r>
              <w:rPr>
                <w:rFonts w:ascii="Times New Roman" w:cs="Times New Roman" w:eastAsia="Times New Roman" w:hAnsi="Times New Roman"/>
                <w:sz w:val="17"/>
                <w:szCs w:val="17"/>
                <w:color w:val="auto"/>
              </w:rPr>
              <w:t>Exit costs - provision for credit</w:t>
            </w:r>
          </w:p>
        </w:tc>
        <w:tc>
          <w:tcPr>
            <w:tcW w:w="1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80" w:type="dxa"/>
            <w:vAlign w:val="bottom"/>
          </w:tcPr>
          <w:p>
            <w:pPr>
              <w:spacing w:after="0"/>
              <w:rPr>
                <w:sz w:val="15"/>
                <w:szCs w:val="15"/>
                <w:color w:val="auto"/>
              </w:rPr>
            </w:pPr>
          </w:p>
        </w:tc>
      </w:tr>
      <w:tr>
        <w:trPr>
          <w:trHeight w:val="230"/>
        </w:trPr>
        <w:tc>
          <w:tcPr>
            <w:tcW w:w="248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losses</w:t>
            </w:r>
          </w:p>
        </w:tc>
        <w:tc>
          <w:tcPr>
            <w:tcW w:w="140" w:type="dxa"/>
            <w:vAlign w:val="bottom"/>
          </w:tcPr>
          <w:p>
            <w:pPr>
              <w:spacing w:after="0"/>
              <w:rPr>
                <w:sz w:val="20"/>
                <w:szCs w:val="20"/>
                <w:color w:val="auto"/>
              </w:rPr>
            </w:pPr>
          </w:p>
        </w:tc>
        <w:tc>
          <w:tcPr>
            <w:tcW w:w="102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(23.2)</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23.2</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0.5</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360" w:type="dxa"/>
            <w:vAlign w:val="bottom"/>
            <w:gridSpan w:val="3"/>
          </w:tcPr>
          <w:p>
            <w:pPr>
              <w:jc w:val="right"/>
              <w:ind w:right="20"/>
              <w:spacing w:after="0"/>
              <w:rPr>
                <w:sz w:val="20"/>
                <w:szCs w:val="20"/>
                <w:color w:val="auto"/>
              </w:rPr>
            </w:pPr>
            <w:r>
              <w:rPr>
                <w:rFonts w:ascii="Times New Roman" w:cs="Times New Roman" w:eastAsia="Times New Roman" w:hAnsi="Times New Roman"/>
                <w:sz w:val="17"/>
                <w:szCs w:val="17"/>
                <w:color w:val="auto"/>
                <w:w w:val="98"/>
              </w:rPr>
              <w:t>(0.5)</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0.5</w:t>
            </w:r>
          </w:p>
        </w:tc>
      </w:tr>
      <w:tr>
        <w:trPr>
          <w:trHeight w:val="230"/>
        </w:trPr>
        <w:tc>
          <w:tcPr>
            <w:tcW w:w="24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Finnish bid error</w:t>
            </w:r>
          </w:p>
        </w:tc>
        <w:tc>
          <w:tcPr>
            <w:tcW w:w="14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0.8</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(0.8)</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0.8</w:t>
            </w:r>
          </w:p>
        </w:tc>
        <w:tc>
          <w:tcPr>
            <w:tcW w:w="1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0.4</w:t>
            </w: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36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w w:val="98"/>
              </w:rPr>
              <w:t>(0.4)</w:t>
            </w:r>
          </w:p>
        </w:tc>
        <w:tc>
          <w:tcPr>
            <w:tcW w:w="1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0.4</w:t>
            </w:r>
          </w:p>
        </w:tc>
      </w:tr>
      <w:tr>
        <w:trPr>
          <w:trHeight w:val="230"/>
        </w:trPr>
        <w:tc>
          <w:tcPr>
            <w:tcW w:w="248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7"/>
                <w:szCs w:val="17"/>
                <w:color w:val="auto"/>
              </w:rPr>
              <w:t>Restructuring and exit costs</w:t>
            </w:r>
          </w:p>
        </w:tc>
        <w:tc>
          <w:tcPr>
            <w:tcW w:w="1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w:t>
            </w:r>
          </w:p>
        </w:tc>
        <w:tc>
          <w:tcPr>
            <w:tcW w:w="12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1.5</w:t>
            </w:r>
          </w:p>
        </w:tc>
        <w:tc>
          <w:tcPr>
            <w:tcW w:w="12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(1.5)</w:t>
            </w:r>
          </w:p>
        </w:tc>
        <w:tc>
          <w:tcPr>
            <w:tcW w:w="120" w:type="dxa"/>
            <w:vAlign w:val="bottom"/>
            <w:tcBorders>
              <w:bottom w:val="single" w:sz="8" w:color="CCEEFF"/>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1.2</w:t>
            </w:r>
          </w:p>
        </w:tc>
        <w:tc>
          <w:tcPr>
            <w:tcW w:w="12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gridSpan w:val="3"/>
          </w:tcPr>
          <w:p>
            <w:pPr>
              <w:jc w:val="right"/>
              <w:ind w:right="20"/>
              <w:spacing w:after="0"/>
              <w:rPr>
                <w:sz w:val="20"/>
                <w:szCs w:val="20"/>
                <w:color w:val="auto"/>
              </w:rPr>
            </w:pPr>
            <w:r>
              <w:rPr>
                <w:rFonts w:ascii="Times New Roman" w:cs="Times New Roman" w:eastAsia="Times New Roman" w:hAnsi="Times New Roman"/>
                <w:sz w:val="17"/>
                <w:szCs w:val="17"/>
                <w:color w:val="auto"/>
                <w:w w:val="98"/>
              </w:rPr>
              <w:t>(4.9)</w:t>
            </w:r>
          </w:p>
        </w:tc>
        <w:tc>
          <w:tcPr>
            <w:tcW w:w="14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4.9</w:t>
            </w:r>
          </w:p>
        </w:tc>
      </w:tr>
      <w:tr>
        <w:trPr>
          <w:trHeight w:val="243"/>
        </w:trPr>
        <w:tc>
          <w:tcPr>
            <w:tcW w:w="2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Adjusted non-GAAP measure</w:t>
            </w:r>
          </w:p>
        </w:tc>
        <w:tc>
          <w:tcPr>
            <w:tcW w:w="1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27.9</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278.9</w:t>
            </w:r>
          </w:p>
        </w:tc>
        <w:tc>
          <w:tcPr>
            <w:tcW w:w="1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900" w:type="dxa"/>
            <w:vAlign w:val="bottom"/>
            <w:tcBorders>
              <w:bottom w:val="single" w:sz="8" w:color="auto"/>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b w:val="1"/>
                <w:bCs w:val="1"/>
                <w:color w:val="auto"/>
              </w:rPr>
              <w:t>176.2</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102.6</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13.8</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b w:val="1"/>
                <w:bCs w:val="1"/>
                <w:color w:val="auto"/>
              </w:rPr>
              <w:t>$</w:t>
            </w:r>
          </w:p>
        </w:tc>
        <w:tc>
          <w:tcPr>
            <w:tcW w:w="60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249.6</w:t>
            </w:r>
          </w:p>
        </w:tc>
        <w:tc>
          <w:tcPr>
            <w:tcW w:w="1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900" w:type="dxa"/>
            <w:vAlign w:val="bottom"/>
            <w:tcBorders>
              <w:bottom w:val="single" w:sz="8" w:color="auto"/>
            </w:tcBorders>
            <w:gridSpan w:val="4"/>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b w:val="1"/>
                <w:bCs w:val="1"/>
                <w:color w:val="auto"/>
              </w:rPr>
              <w:t>181.0</w:t>
            </w:r>
          </w:p>
        </w:tc>
        <w:tc>
          <w:tcPr>
            <w:tcW w:w="1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68.6</w:t>
            </w:r>
          </w:p>
        </w:tc>
      </w:tr>
      <w:tr>
        <w:trPr>
          <w:trHeight w:val="20"/>
        </w:trPr>
        <w:tc>
          <w:tcPr>
            <w:tcW w:w="24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gridSpan w:val="2"/>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r>
        <w:trPr>
          <w:trHeight w:val="432"/>
        </w:trPr>
        <w:tc>
          <w:tcPr>
            <w:tcW w:w="248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4160" w:type="dxa"/>
            <w:vAlign w:val="bottom"/>
            <w:tcBorders>
              <w:bottom w:val="single" w:sz="8" w:color="auto"/>
            </w:tcBorders>
            <w:gridSpan w:val="13"/>
          </w:tcPr>
          <w:p>
            <w:pPr>
              <w:jc w:val="center"/>
              <w:ind w:left="35"/>
              <w:spacing w:after="0"/>
              <w:rPr>
                <w:sz w:val="20"/>
                <w:szCs w:val="20"/>
                <w:color w:val="auto"/>
              </w:rPr>
            </w:pPr>
            <w:r>
              <w:rPr>
                <w:rFonts w:ascii="Times New Roman" w:cs="Times New Roman" w:eastAsia="Times New Roman" w:hAnsi="Times New Roman"/>
                <w:sz w:val="17"/>
                <w:szCs w:val="17"/>
                <w:b w:val="1"/>
                <w:bCs w:val="1"/>
                <w:color w:val="auto"/>
              </w:rPr>
              <w:t>For the Nine Months Ended September 30,</w:t>
            </w:r>
          </w:p>
        </w:tc>
        <w:tc>
          <w:tcPr>
            <w:tcW w:w="1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r>
      <w:tr>
        <w:trPr>
          <w:trHeight w:val="223"/>
        </w:trPr>
        <w:tc>
          <w:tcPr>
            <w:tcW w:w="24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gridSpan w:val="3"/>
          </w:tcPr>
          <w:p>
            <w:pPr>
              <w:jc w:val="center"/>
              <w:ind w:right="535"/>
              <w:spacing w:after="0"/>
              <w:rPr>
                <w:sz w:val="20"/>
                <w:szCs w:val="20"/>
                <w:color w:val="auto"/>
              </w:rPr>
            </w:pPr>
            <w:r>
              <w:rPr>
                <w:rFonts w:ascii="Times New Roman" w:cs="Times New Roman" w:eastAsia="Times New Roman" w:hAnsi="Times New Roman"/>
                <w:sz w:val="17"/>
                <w:szCs w:val="17"/>
                <w:b w:val="1"/>
                <w:bCs w:val="1"/>
                <w:color w:val="auto"/>
                <w:w w:val="99"/>
              </w:rPr>
              <w:t>2026</w:t>
            </w:r>
          </w:p>
        </w:tc>
        <w:tc>
          <w:tcPr>
            <w:tcW w:w="18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gridSpan w:val="3"/>
          </w:tcPr>
          <w:p>
            <w:pPr>
              <w:jc w:val="center"/>
              <w:ind w:right="355"/>
              <w:spacing w:after="0"/>
              <w:rPr>
                <w:sz w:val="20"/>
                <w:szCs w:val="20"/>
                <w:color w:val="auto"/>
              </w:rPr>
            </w:pPr>
            <w:r>
              <w:rPr>
                <w:rFonts w:ascii="Times New Roman" w:cs="Times New Roman" w:eastAsia="Times New Roman" w:hAnsi="Times New Roman"/>
                <w:sz w:val="17"/>
                <w:szCs w:val="17"/>
                <w:b w:val="1"/>
                <w:bCs w:val="1"/>
                <w:color w:val="auto"/>
                <w:w w:val="99"/>
              </w:rPr>
              <w:t>2025</w:t>
            </w:r>
          </w:p>
        </w:tc>
        <w:tc>
          <w:tcPr>
            <w:tcW w:w="6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r>
      <w:tr>
        <w:trPr>
          <w:trHeight w:val="390"/>
        </w:trPr>
        <w:tc>
          <w:tcPr>
            <w:tcW w:w="2480" w:type="dxa"/>
            <w:vAlign w:val="bottom"/>
          </w:tcPr>
          <w:p>
            <w:pPr>
              <w:spacing w:after="0"/>
              <w:rPr>
                <w:sz w:val="24"/>
                <w:szCs w:val="24"/>
                <w:color w:val="auto"/>
              </w:rPr>
            </w:pPr>
          </w:p>
        </w:tc>
        <w:tc>
          <w:tcPr>
            <w:tcW w:w="104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7"/>
                <w:szCs w:val="17"/>
                <w:color w:val="auto"/>
              </w:rPr>
              <w:t>Land Segment</w:t>
            </w:r>
          </w:p>
        </w:tc>
        <w:tc>
          <w:tcPr>
            <w:tcW w:w="1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gridSpan w:val="3"/>
          </w:tcPr>
          <w:p>
            <w:pPr>
              <w:ind w:left="40"/>
              <w:spacing w:after="0"/>
              <w:rPr>
                <w:sz w:val="20"/>
                <w:szCs w:val="20"/>
                <w:color w:val="auto"/>
              </w:rPr>
            </w:pPr>
            <w:r>
              <w:rPr>
                <w:rFonts w:ascii="Times New Roman" w:cs="Times New Roman" w:eastAsia="Times New Roman" w:hAnsi="Times New Roman"/>
                <w:sz w:val="17"/>
                <w:szCs w:val="17"/>
                <w:color w:val="auto"/>
              </w:rPr>
              <w:t>Consolidated</w:t>
            </w:r>
          </w:p>
        </w:tc>
        <w:tc>
          <w:tcPr>
            <w:tcW w:w="1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auto"/>
              </w:rPr>
              <w:t>Land Segment</w:t>
            </w:r>
          </w:p>
        </w:tc>
        <w:tc>
          <w:tcPr>
            <w:tcW w:w="12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gridSpan w:val="5"/>
          </w:tcPr>
          <w:p>
            <w:pPr>
              <w:ind w:left="40"/>
              <w:spacing w:after="0"/>
              <w:rPr>
                <w:sz w:val="20"/>
                <w:szCs w:val="20"/>
                <w:color w:val="auto"/>
              </w:rPr>
            </w:pPr>
            <w:r>
              <w:rPr>
                <w:rFonts w:ascii="Times New Roman" w:cs="Times New Roman" w:eastAsia="Times New Roman" w:hAnsi="Times New Roman"/>
                <w:sz w:val="17"/>
                <w:szCs w:val="17"/>
                <w:color w:val="auto"/>
              </w:rPr>
              <w:t>Consolidated</w:t>
            </w:r>
          </w:p>
        </w:tc>
        <w:tc>
          <w:tcPr>
            <w:tcW w:w="1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r>
      <w:tr>
        <w:trPr>
          <w:trHeight w:val="351"/>
        </w:trPr>
        <w:tc>
          <w:tcPr>
            <w:tcW w:w="248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Reconciliation of GAAP to</w:t>
            </w:r>
          </w:p>
        </w:tc>
        <w:tc>
          <w:tcPr>
            <w:tcW w:w="140" w:type="dxa"/>
            <w:vAlign w:val="bottom"/>
          </w:tcPr>
          <w:p>
            <w:pPr>
              <w:spacing w:after="0"/>
              <w:rPr>
                <w:sz w:val="24"/>
                <w:szCs w:val="24"/>
                <w:color w:val="auto"/>
              </w:rPr>
            </w:pPr>
          </w:p>
        </w:tc>
        <w:tc>
          <w:tcPr>
            <w:tcW w:w="1020" w:type="dxa"/>
            <w:vAlign w:val="bottom"/>
            <w:gridSpan w:val="2"/>
          </w:tcPr>
          <w:p>
            <w:pPr>
              <w:ind w:left="40"/>
              <w:spacing w:after="0"/>
              <w:rPr>
                <w:sz w:val="20"/>
                <w:szCs w:val="20"/>
                <w:color w:val="auto"/>
              </w:rPr>
            </w:pPr>
            <w:r>
              <w:rPr>
                <w:rFonts w:ascii="Times New Roman" w:cs="Times New Roman" w:eastAsia="Times New Roman" w:hAnsi="Times New Roman"/>
                <w:sz w:val="17"/>
                <w:szCs w:val="17"/>
                <w:color w:val="auto"/>
              </w:rPr>
              <w:t>Operating</w:t>
            </w:r>
          </w:p>
        </w:tc>
        <w:tc>
          <w:tcPr>
            <w:tcW w:w="160" w:type="dxa"/>
            <w:vAlign w:val="bottom"/>
          </w:tcPr>
          <w:p>
            <w:pPr>
              <w:spacing w:after="0"/>
              <w:rPr>
                <w:sz w:val="24"/>
                <w:szCs w:val="24"/>
                <w:color w:val="auto"/>
              </w:rPr>
            </w:pPr>
          </w:p>
        </w:tc>
        <w:tc>
          <w:tcPr>
            <w:tcW w:w="640" w:type="dxa"/>
            <w:vAlign w:val="bottom"/>
          </w:tcPr>
          <w:p>
            <w:pPr>
              <w:jc w:val="right"/>
              <w:ind w:right="115"/>
              <w:spacing w:after="0"/>
              <w:rPr>
                <w:sz w:val="20"/>
                <w:szCs w:val="20"/>
                <w:color w:val="auto"/>
              </w:rPr>
            </w:pPr>
            <w:r>
              <w:rPr>
                <w:rFonts w:ascii="Times New Roman" w:cs="Times New Roman" w:eastAsia="Times New Roman" w:hAnsi="Times New Roman"/>
                <w:sz w:val="17"/>
                <w:szCs w:val="17"/>
                <w:color w:val="auto"/>
              </w:rPr>
              <w:t>Gross</w:t>
            </w: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gridSpan w:val="3"/>
          </w:tcPr>
          <w:p>
            <w:pPr>
              <w:ind w:left="40"/>
              <w:spacing w:after="0"/>
              <w:rPr>
                <w:sz w:val="20"/>
                <w:szCs w:val="20"/>
                <w:color w:val="auto"/>
              </w:rPr>
            </w:pPr>
            <w:r>
              <w:rPr>
                <w:rFonts w:ascii="Times New Roman" w:cs="Times New Roman" w:eastAsia="Times New Roman" w:hAnsi="Times New Roman"/>
                <w:sz w:val="17"/>
                <w:szCs w:val="17"/>
                <w:color w:val="auto"/>
              </w:rPr>
              <w:t>Operating</w:t>
            </w:r>
          </w:p>
        </w:tc>
        <w:tc>
          <w:tcPr>
            <w:tcW w:w="140" w:type="dxa"/>
            <w:vAlign w:val="bottom"/>
          </w:tcPr>
          <w:p>
            <w:pPr>
              <w:spacing w:after="0"/>
              <w:rPr>
                <w:sz w:val="24"/>
                <w:szCs w:val="24"/>
                <w:color w:val="auto"/>
              </w:rPr>
            </w:pPr>
          </w:p>
        </w:tc>
        <w:tc>
          <w:tcPr>
            <w:tcW w:w="1020" w:type="dxa"/>
            <w:vAlign w:val="bottom"/>
            <w:gridSpan w:val="2"/>
          </w:tcPr>
          <w:p>
            <w:pPr>
              <w:ind w:left="40"/>
              <w:spacing w:after="0"/>
              <w:rPr>
                <w:sz w:val="20"/>
                <w:szCs w:val="20"/>
                <w:color w:val="auto"/>
              </w:rPr>
            </w:pPr>
            <w:r>
              <w:rPr>
                <w:rFonts w:ascii="Times New Roman" w:cs="Times New Roman" w:eastAsia="Times New Roman" w:hAnsi="Times New Roman"/>
                <w:sz w:val="17"/>
                <w:szCs w:val="17"/>
                <w:color w:val="auto"/>
              </w:rPr>
              <w:t>Operating</w:t>
            </w: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Operating</w:t>
            </w:r>
          </w:p>
        </w:tc>
        <w:tc>
          <w:tcPr>
            <w:tcW w:w="220" w:type="dxa"/>
            <w:vAlign w:val="bottom"/>
          </w:tcPr>
          <w:p>
            <w:pPr>
              <w:spacing w:after="0"/>
              <w:rPr>
                <w:sz w:val="24"/>
                <w:szCs w:val="24"/>
                <w:color w:val="auto"/>
              </w:rPr>
            </w:pPr>
          </w:p>
        </w:tc>
        <w:tc>
          <w:tcPr>
            <w:tcW w:w="600" w:type="dxa"/>
            <w:vAlign w:val="bottom"/>
            <w:gridSpan w:val="2"/>
          </w:tcPr>
          <w:p>
            <w:pPr>
              <w:jc w:val="center"/>
              <w:ind w:right="115"/>
              <w:spacing w:after="0"/>
              <w:rPr>
                <w:sz w:val="20"/>
                <w:szCs w:val="20"/>
                <w:color w:val="auto"/>
              </w:rPr>
            </w:pPr>
            <w:r>
              <w:rPr>
                <w:rFonts w:ascii="Times New Roman" w:cs="Times New Roman" w:eastAsia="Times New Roman" w:hAnsi="Times New Roman"/>
                <w:sz w:val="17"/>
                <w:szCs w:val="17"/>
                <w:color w:val="auto"/>
              </w:rPr>
              <w:t>Gross</w:t>
            </w: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40" w:type="dxa"/>
            <w:vAlign w:val="bottom"/>
            <w:gridSpan w:val="5"/>
          </w:tcPr>
          <w:p>
            <w:pPr>
              <w:ind w:left="40"/>
              <w:spacing w:after="0"/>
              <w:rPr>
                <w:sz w:val="20"/>
                <w:szCs w:val="20"/>
                <w:color w:val="auto"/>
              </w:rPr>
            </w:pPr>
            <w:r>
              <w:rPr>
                <w:rFonts w:ascii="Times New Roman" w:cs="Times New Roman" w:eastAsia="Times New Roman" w:hAnsi="Times New Roman"/>
                <w:sz w:val="17"/>
                <w:szCs w:val="17"/>
                <w:color w:val="auto"/>
              </w:rPr>
              <w:t>Operating</w:t>
            </w:r>
          </w:p>
        </w:tc>
        <w:tc>
          <w:tcPr>
            <w:tcW w:w="160" w:type="dxa"/>
            <w:vAlign w:val="bottom"/>
          </w:tcPr>
          <w:p>
            <w:pPr>
              <w:spacing w:after="0"/>
              <w:rPr>
                <w:sz w:val="24"/>
                <w:szCs w:val="24"/>
                <w:color w:val="auto"/>
              </w:rPr>
            </w:pPr>
          </w:p>
        </w:tc>
        <w:tc>
          <w:tcPr>
            <w:tcW w:w="8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Operating</w:t>
            </w:r>
          </w:p>
        </w:tc>
      </w:tr>
      <w:tr>
        <w:trPr>
          <w:trHeight w:val="228"/>
        </w:trPr>
        <w:tc>
          <w:tcPr>
            <w:tcW w:w="24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b w:val="1"/>
                <w:bCs w:val="1"/>
                <w:color w:val="auto"/>
              </w:rPr>
              <w:t>non-GAAP financial measures:</w:t>
            </w:r>
          </w:p>
        </w:tc>
        <w:tc>
          <w:tcPr>
            <w:tcW w:w="104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7"/>
                <w:szCs w:val="17"/>
                <w:color w:val="auto"/>
              </w:rPr>
              <w:t>Income (Loss)</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ind w:right="115"/>
              <w:spacing w:after="0"/>
              <w:rPr>
                <w:sz w:val="20"/>
                <w:szCs w:val="20"/>
                <w:color w:val="auto"/>
              </w:rPr>
            </w:pPr>
            <w:r>
              <w:rPr>
                <w:rFonts w:ascii="Times New Roman" w:cs="Times New Roman" w:eastAsia="Times New Roman" w:hAnsi="Times New Roman"/>
                <w:sz w:val="17"/>
                <w:szCs w:val="17"/>
                <w:color w:val="auto"/>
              </w:rPr>
              <w:t>Profit</w:t>
            </w:r>
          </w:p>
        </w:tc>
        <w:tc>
          <w:tcPr>
            <w:tcW w:w="14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7"/>
                <w:szCs w:val="17"/>
                <w:color w:val="auto"/>
              </w:rPr>
              <w:t>Expenses</w:t>
            </w:r>
          </w:p>
        </w:tc>
        <w:tc>
          <w:tcPr>
            <w:tcW w:w="120" w:type="dxa"/>
            <w:vAlign w:val="bottom"/>
            <w:tcBorders>
              <w:bottom w:val="single" w:sz="8" w:color="CCEEFF"/>
            </w:tcBorders>
          </w:tcPr>
          <w:p>
            <w:pPr>
              <w:spacing w:after="0"/>
              <w:rPr>
                <w:sz w:val="19"/>
                <w:szCs w:val="19"/>
                <w:color w:val="auto"/>
              </w:rPr>
            </w:pPr>
          </w:p>
        </w:tc>
        <w:tc>
          <w:tcPr>
            <w:tcW w:w="104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7"/>
                <w:szCs w:val="17"/>
                <w:color w:val="auto"/>
              </w:rPr>
              <w:t>Income (Loss)</w:t>
            </w:r>
          </w:p>
        </w:tc>
        <w:tc>
          <w:tcPr>
            <w:tcW w:w="12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auto"/>
              </w:rPr>
              <w:t>Income (Loss)</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gridSpan w:val="2"/>
          </w:tcPr>
          <w:p>
            <w:pPr>
              <w:jc w:val="center"/>
              <w:ind w:right="115"/>
              <w:spacing w:after="0"/>
              <w:rPr>
                <w:sz w:val="20"/>
                <w:szCs w:val="20"/>
                <w:color w:val="auto"/>
              </w:rPr>
            </w:pPr>
            <w:r>
              <w:rPr>
                <w:rFonts w:ascii="Times New Roman" w:cs="Times New Roman" w:eastAsia="Times New Roman" w:hAnsi="Times New Roman"/>
                <w:sz w:val="17"/>
                <w:szCs w:val="17"/>
                <w:color w:val="auto"/>
              </w:rPr>
              <w:t>Profit</w:t>
            </w:r>
          </w:p>
        </w:tc>
        <w:tc>
          <w:tcPr>
            <w:tcW w:w="14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gridSpan w:val="4"/>
          </w:tcPr>
          <w:p>
            <w:pPr>
              <w:ind w:left="60"/>
              <w:spacing w:after="0"/>
              <w:rPr>
                <w:sz w:val="20"/>
                <w:szCs w:val="20"/>
                <w:color w:val="auto"/>
              </w:rPr>
            </w:pPr>
            <w:r>
              <w:rPr>
                <w:rFonts w:ascii="Times New Roman" w:cs="Times New Roman" w:eastAsia="Times New Roman" w:hAnsi="Times New Roman"/>
                <w:sz w:val="17"/>
                <w:szCs w:val="17"/>
                <w:color w:val="auto"/>
              </w:rPr>
              <w:t>Expenses</w:t>
            </w:r>
          </w:p>
        </w:tc>
        <w:tc>
          <w:tcPr>
            <w:tcW w:w="140" w:type="dxa"/>
            <w:vAlign w:val="bottom"/>
            <w:tcBorders>
              <w:bottom w:val="single" w:sz="8" w:color="CCEEFF"/>
            </w:tcBorders>
          </w:tcPr>
          <w:p>
            <w:pPr>
              <w:spacing w:after="0"/>
              <w:rPr>
                <w:sz w:val="19"/>
                <w:szCs w:val="19"/>
                <w:color w:val="auto"/>
              </w:rPr>
            </w:pPr>
          </w:p>
        </w:tc>
        <w:tc>
          <w:tcPr>
            <w:tcW w:w="104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7"/>
                <w:szCs w:val="17"/>
                <w:color w:val="auto"/>
              </w:rPr>
              <w:t>Income (Loss)</w:t>
            </w:r>
          </w:p>
        </w:tc>
      </w:tr>
      <w:tr>
        <w:trPr>
          <w:trHeight w:val="226"/>
        </w:trPr>
        <w:tc>
          <w:tcPr>
            <w:tcW w:w="2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GAAP measure</w:t>
            </w:r>
          </w:p>
        </w:tc>
        <w:tc>
          <w:tcPr>
            <w:tcW w:w="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36.3</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924.4</w:t>
            </w:r>
          </w:p>
        </w:tc>
        <w:tc>
          <w:tcPr>
            <w:tcW w:w="280" w:type="dxa"/>
            <w:vAlign w:val="bottom"/>
            <w:gridSpan w:val="2"/>
            <w:shd w:val="clear" w:color="auto" w:fill="CCEEFF"/>
          </w:tcPr>
          <w:p>
            <w:pPr>
              <w:jc w:val="center"/>
              <w:ind w:left="35"/>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9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b w:val="1"/>
                <w:bCs w:val="1"/>
                <w:color w:val="auto"/>
              </w:rPr>
              <w:t>691.9</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232.5</w:t>
            </w:r>
          </w:p>
        </w:tc>
        <w:tc>
          <w:tcPr>
            <w:tcW w:w="120" w:type="dxa"/>
            <w:vAlign w:val="bottom"/>
            <w:shd w:val="clear" w:color="auto" w:fill="CCEEFF"/>
          </w:tcPr>
          <w:p>
            <w:pPr>
              <w:spacing w:after="0"/>
              <w:rPr>
                <w:sz w:val="19"/>
                <w:szCs w:val="19"/>
                <w:color w:val="auto"/>
              </w:rPr>
            </w:pPr>
          </w:p>
        </w:tc>
        <w:tc>
          <w:tcPr>
            <w:tcW w:w="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w:t>
            </w:r>
          </w:p>
        </w:tc>
        <w:tc>
          <w:tcPr>
            <w:tcW w:w="8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7"/>
                <w:szCs w:val="17"/>
                <w:b w:val="1"/>
                <w:bCs w:val="1"/>
                <w:color w:val="auto"/>
              </w:rPr>
              <w:t>(400.4)</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b w:val="1"/>
                <w:bCs w:val="1"/>
                <w:color w:val="auto"/>
              </w:rPr>
              <w:t>$</w:t>
            </w:r>
          </w:p>
        </w:tc>
        <w:tc>
          <w:tcPr>
            <w:tcW w:w="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712.4</w:t>
            </w:r>
          </w:p>
        </w:tc>
        <w:tc>
          <w:tcPr>
            <w:tcW w:w="280" w:type="dxa"/>
            <w:vAlign w:val="bottom"/>
            <w:gridSpan w:val="2"/>
            <w:shd w:val="clear" w:color="auto" w:fill="CCEEFF"/>
          </w:tcPr>
          <w:p>
            <w:pPr>
              <w:jc w:val="center"/>
              <w:ind w:left="35"/>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900" w:type="dxa"/>
            <w:vAlign w:val="bottom"/>
            <w:gridSpan w:val="4"/>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b w:val="1"/>
                <w:bCs w:val="1"/>
                <w:color w:val="auto"/>
              </w:rPr>
              <w:t>1,001.2</w:t>
            </w:r>
          </w:p>
        </w:tc>
        <w:tc>
          <w:tcPr>
            <w:tcW w:w="140" w:type="dxa"/>
            <w:vAlign w:val="bottom"/>
            <w:shd w:val="clear" w:color="auto" w:fill="CCEEFF"/>
          </w:tcPr>
          <w:p>
            <w:pPr>
              <w:spacing w:after="0"/>
              <w:rPr>
                <w:sz w:val="19"/>
                <w:szCs w:val="19"/>
                <w:color w:val="auto"/>
              </w:rPr>
            </w:pPr>
          </w:p>
        </w:tc>
        <w:tc>
          <w:tcPr>
            <w:tcW w:w="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(288.8)</w:t>
            </w:r>
          </w:p>
        </w:tc>
      </w:tr>
      <w:tr>
        <w:trPr>
          <w:trHeight w:val="179"/>
        </w:trPr>
        <w:tc>
          <w:tcPr>
            <w:tcW w:w="2480" w:type="dxa"/>
            <w:vAlign w:val="bottom"/>
          </w:tcPr>
          <w:p>
            <w:pPr>
              <w:ind w:left="120"/>
              <w:spacing w:after="0" w:line="180" w:lineRule="exact"/>
              <w:rPr>
                <w:sz w:val="20"/>
                <w:szCs w:val="20"/>
                <w:color w:val="auto"/>
              </w:rPr>
            </w:pPr>
            <w:r>
              <w:rPr>
                <w:rFonts w:ascii="Times New Roman" w:cs="Times New Roman" w:eastAsia="Times New Roman" w:hAnsi="Times New Roman"/>
                <w:sz w:val="17"/>
                <w:szCs w:val="17"/>
                <w:color w:val="auto"/>
              </w:rPr>
              <w:t>Acquisition and divestiture</w:t>
            </w:r>
          </w:p>
        </w:tc>
        <w:tc>
          <w:tcPr>
            <w:tcW w:w="1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80" w:type="dxa"/>
            <w:vAlign w:val="bottom"/>
          </w:tcPr>
          <w:p>
            <w:pPr>
              <w:spacing w:after="0"/>
              <w:rPr>
                <w:sz w:val="15"/>
                <w:szCs w:val="15"/>
                <w:color w:val="auto"/>
              </w:rPr>
            </w:pPr>
          </w:p>
        </w:tc>
      </w:tr>
      <w:tr>
        <w:trPr>
          <w:trHeight w:val="230"/>
        </w:trPr>
        <w:tc>
          <w:tcPr>
            <w:tcW w:w="248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related expenses</w:t>
            </w:r>
          </w:p>
        </w:tc>
        <w:tc>
          <w:tcPr>
            <w:tcW w:w="140" w:type="dxa"/>
            <w:vAlign w:val="bottom"/>
          </w:tcPr>
          <w:p>
            <w:pPr>
              <w:spacing w:after="0"/>
              <w:rPr>
                <w:sz w:val="20"/>
                <w:szCs w:val="20"/>
                <w:color w:val="auto"/>
              </w:rPr>
            </w:pPr>
          </w:p>
        </w:tc>
        <w:tc>
          <w:tcPr>
            <w:tcW w:w="102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(0.5)</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0.5</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40" w:type="dxa"/>
            <w:vAlign w:val="bottom"/>
            <w:gridSpan w:val="3"/>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179"/>
        </w:trPr>
        <w:tc>
          <w:tcPr>
            <w:tcW w:w="2480" w:type="dxa"/>
            <w:vAlign w:val="bottom"/>
            <w:shd w:val="clear" w:color="auto" w:fill="CCEEFF"/>
          </w:tcPr>
          <w:p>
            <w:pPr>
              <w:ind w:left="120"/>
              <w:spacing w:after="0" w:line="180" w:lineRule="exact"/>
              <w:rPr>
                <w:sz w:val="20"/>
                <w:szCs w:val="20"/>
                <w:color w:val="auto"/>
              </w:rPr>
            </w:pPr>
            <w:r>
              <w:rPr>
                <w:rFonts w:ascii="Times New Roman" w:cs="Times New Roman" w:eastAsia="Times New Roman" w:hAnsi="Times New Roman"/>
                <w:sz w:val="17"/>
                <w:szCs w:val="17"/>
                <w:color w:val="auto"/>
              </w:rPr>
              <w:t>Non-core divestitures and</w:t>
            </w:r>
          </w:p>
        </w:tc>
        <w:tc>
          <w:tcPr>
            <w:tcW w:w="14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r>
      <w:tr>
        <w:trPr>
          <w:trHeight w:val="230"/>
        </w:trPr>
        <w:tc>
          <w:tcPr>
            <w:tcW w:w="24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business exits</w:t>
            </w:r>
          </w:p>
        </w:tc>
        <w:tc>
          <w:tcPr>
            <w:tcW w:w="14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9.0</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(42.0)</w:t>
            </w:r>
          </w:p>
        </w:tc>
        <w:tc>
          <w:tcPr>
            <w:tcW w:w="1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(50.9)</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9.0</w:t>
            </w:r>
          </w:p>
        </w:tc>
        <w:tc>
          <w:tcPr>
            <w:tcW w:w="1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44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179"/>
        </w:trPr>
        <w:tc>
          <w:tcPr>
            <w:tcW w:w="2480" w:type="dxa"/>
            <w:vAlign w:val="bottom"/>
          </w:tcPr>
          <w:p>
            <w:pPr>
              <w:ind w:left="120"/>
              <w:spacing w:after="0" w:line="180" w:lineRule="exact"/>
              <w:rPr>
                <w:sz w:val="20"/>
                <w:szCs w:val="20"/>
                <w:color w:val="auto"/>
              </w:rPr>
            </w:pPr>
            <w:r>
              <w:rPr>
                <w:rFonts w:ascii="Times New Roman" w:cs="Times New Roman" w:eastAsia="Times New Roman" w:hAnsi="Times New Roman"/>
                <w:sz w:val="17"/>
                <w:szCs w:val="17"/>
                <w:color w:val="auto"/>
              </w:rPr>
              <w:t>Goodwill and other asset</w:t>
            </w:r>
          </w:p>
        </w:tc>
        <w:tc>
          <w:tcPr>
            <w:tcW w:w="1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80" w:type="dxa"/>
            <w:vAlign w:val="bottom"/>
          </w:tcPr>
          <w:p>
            <w:pPr>
              <w:spacing w:after="0"/>
              <w:rPr>
                <w:sz w:val="15"/>
                <w:szCs w:val="15"/>
                <w:color w:val="auto"/>
              </w:rPr>
            </w:pPr>
          </w:p>
        </w:tc>
      </w:tr>
      <w:tr>
        <w:trPr>
          <w:trHeight w:val="230"/>
        </w:trPr>
        <w:tc>
          <w:tcPr>
            <w:tcW w:w="248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impairments</w:t>
            </w:r>
          </w:p>
        </w:tc>
        <w:tc>
          <w:tcPr>
            <w:tcW w:w="1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(3.2)</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1.8</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411.5</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gridSpan w:val="4"/>
          </w:tcPr>
          <w:p>
            <w:pPr>
              <w:jc w:val="right"/>
              <w:ind w:right="20"/>
              <w:spacing w:after="0"/>
              <w:rPr>
                <w:sz w:val="20"/>
                <w:szCs w:val="20"/>
                <w:color w:val="auto"/>
              </w:rPr>
            </w:pPr>
            <w:r>
              <w:rPr>
                <w:rFonts w:ascii="Times New Roman" w:cs="Times New Roman" w:eastAsia="Times New Roman" w:hAnsi="Times New Roman"/>
                <w:sz w:val="17"/>
                <w:szCs w:val="17"/>
                <w:color w:val="auto"/>
              </w:rPr>
              <w:t>(443.1)</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443.1</w:t>
            </w:r>
          </w:p>
        </w:tc>
      </w:tr>
      <w:tr>
        <w:trPr>
          <w:trHeight w:val="230"/>
        </w:trPr>
        <w:tc>
          <w:tcPr>
            <w:tcW w:w="24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Integration costs</w:t>
            </w:r>
          </w:p>
        </w:tc>
        <w:tc>
          <w:tcPr>
            <w:tcW w:w="14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shd w:val="clear" w:color="auto" w:fill="CCEEFF"/>
          </w:tcPr>
          <w:p>
            <w:pPr>
              <w:spacing w:after="0"/>
              <w:rPr>
                <w:sz w:val="20"/>
                <w:szCs w:val="20"/>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(5.4)</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5.4</w:t>
            </w:r>
          </w:p>
        </w:tc>
        <w:tc>
          <w:tcPr>
            <w:tcW w:w="1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44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179"/>
        </w:trPr>
        <w:tc>
          <w:tcPr>
            <w:tcW w:w="2480" w:type="dxa"/>
            <w:vAlign w:val="bottom"/>
          </w:tcPr>
          <w:p>
            <w:pPr>
              <w:ind w:left="120"/>
              <w:spacing w:after="0" w:line="180" w:lineRule="exact"/>
              <w:rPr>
                <w:sz w:val="20"/>
                <w:szCs w:val="20"/>
                <w:color w:val="auto"/>
              </w:rPr>
            </w:pPr>
            <w:r>
              <w:rPr>
                <w:rFonts w:ascii="Times New Roman" w:cs="Times New Roman" w:eastAsia="Times New Roman" w:hAnsi="Times New Roman"/>
                <w:sz w:val="17"/>
                <w:szCs w:val="17"/>
                <w:color w:val="auto"/>
              </w:rPr>
              <w:t>Exit costs - provision for credit</w:t>
            </w:r>
          </w:p>
        </w:tc>
        <w:tc>
          <w:tcPr>
            <w:tcW w:w="1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80" w:type="dxa"/>
            <w:vAlign w:val="bottom"/>
          </w:tcPr>
          <w:p>
            <w:pPr>
              <w:spacing w:after="0"/>
              <w:rPr>
                <w:sz w:val="15"/>
                <w:szCs w:val="15"/>
                <w:color w:val="auto"/>
              </w:rPr>
            </w:pPr>
          </w:p>
        </w:tc>
      </w:tr>
      <w:tr>
        <w:trPr>
          <w:trHeight w:val="230"/>
        </w:trPr>
        <w:tc>
          <w:tcPr>
            <w:tcW w:w="248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losses</w:t>
            </w:r>
          </w:p>
        </w:tc>
        <w:tc>
          <w:tcPr>
            <w:tcW w:w="1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3.0</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(26.2)</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26.2</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0.5</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360" w:type="dxa"/>
            <w:vAlign w:val="bottom"/>
            <w:gridSpan w:val="3"/>
          </w:tcPr>
          <w:p>
            <w:pPr>
              <w:jc w:val="right"/>
              <w:ind w:right="20"/>
              <w:spacing w:after="0"/>
              <w:rPr>
                <w:sz w:val="20"/>
                <w:szCs w:val="20"/>
                <w:color w:val="auto"/>
              </w:rPr>
            </w:pPr>
            <w:r>
              <w:rPr>
                <w:rFonts w:ascii="Times New Roman" w:cs="Times New Roman" w:eastAsia="Times New Roman" w:hAnsi="Times New Roman"/>
                <w:sz w:val="17"/>
                <w:szCs w:val="17"/>
                <w:color w:val="auto"/>
                <w:w w:val="98"/>
              </w:rPr>
              <w:t>(0.5)</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0.5</w:t>
            </w:r>
          </w:p>
        </w:tc>
      </w:tr>
      <w:tr>
        <w:trPr>
          <w:trHeight w:val="230"/>
        </w:trPr>
        <w:tc>
          <w:tcPr>
            <w:tcW w:w="24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Finnish bid error</w:t>
            </w:r>
          </w:p>
        </w:tc>
        <w:tc>
          <w:tcPr>
            <w:tcW w:w="14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6.0</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(6.0)</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6.0</w:t>
            </w:r>
          </w:p>
        </w:tc>
        <w:tc>
          <w:tcPr>
            <w:tcW w:w="1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0.4</w:t>
            </w: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36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w w:val="98"/>
              </w:rPr>
              <w:t>(0.4)</w:t>
            </w:r>
          </w:p>
        </w:tc>
        <w:tc>
          <w:tcPr>
            <w:tcW w:w="1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0.4</w:t>
            </w:r>
          </w:p>
        </w:tc>
      </w:tr>
      <w:tr>
        <w:trPr>
          <w:trHeight w:val="230"/>
        </w:trPr>
        <w:tc>
          <w:tcPr>
            <w:tcW w:w="248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7"/>
                <w:szCs w:val="17"/>
                <w:color w:val="auto"/>
              </w:rPr>
              <w:t>Restructuring and exit costs</w:t>
            </w:r>
          </w:p>
        </w:tc>
        <w:tc>
          <w:tcPr>
            <w:tcW w:w="1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7.1</w:t>
            </w:r>
          </w:p>
        </w:tc>
        <w:tc>
          <w:tcPr>
            <w:tcW w:w="12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(14.1)</w:t>
            </w:r>
          </w:p>
        </w:tc>
        <w:tc>
          <w:tcPr>
            <w:tcW w:w="12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14.1</w:t>
            </w:r>
          </w:p>
        </w:tc>
        <w:tc>
          <w:tcPr>
            <w:tcW w:w="120" w:type="dxa"/>
            <w:vAlign w:val="bottom"/>
            <w:tcBorders>
              <w:bottom w:val="single" w:sz="8" w:color="CCEEFF"/>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9.6</w:t>
            </w:r>
          </w:p>
        </w:tc>
        <w:tc>
          <w:tcPr>
            <w:tcW w:w="12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gridSpan w:val="4"/>
          </w:tcPr>
          <w:p>
            <w:pPr>
              <w:jc w:val="right"/>
              <w:ind w:right="20"/>
              <w:spacing w:after="0"/>
              <w:rPr>
                <w:sz w:val="20"/>
                <w:szCs w:val="20"/>
                <w:color w:val="auto"/>
              </w:rPr>
            </w:pPr>
            <w:r>
              <w:rPr>
                <w:rFonts w:ascii="Times New Roman" w:cs="Times New Roman" w:eastAsia="Times New Roman" w:hAnsi="Times New Roman"/>
                <w:sz w:val="17"/>
                <w:szCs w:val="17"/>
                <w:color w:val="auto"/>
              </w:rPr>
              <w:t>(25.9)</w:t>
            </w:r>
          </w:p>
        </w:tc>
        <w:tc>
          <w:tcPr>
            <w:tcW w:w="14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25.9</w:t>
            </w:r>
          </w:p>
        </w:tc>
      </w:tr>
      <w:tr>
        <w:trPr>
          <w:trHeight w:val="243"/>
        </w:trPr>
        <w:tc>
          <w:tcPr>
            <w:tcW w:w="2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Adjusted non-GAAP measure</w:t>
            </w:r>
          </w:p>
        </w:tc>
        <w:tc>
          <w:tcPr>
            <w:tcW w:w="1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58.3</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882.4</w:t>
            </w:r>
          </w:p>
        </w:tc>
        <w:tc>
          <w:tcPr>
            <w:tcW w:w="1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900" w:type="dxa"/>
            <w:vAlign w:val="bottom"/>
            <w:tcBorders>
              <w:bottom w:val="single" w:sz="8" w:color="auto"/>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b w:val="1"/>
                <w:bCs w:val="1"/>
                <w:color w:val="auto"/>
              </w:rPr>
              <w:t>590.5</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291.9</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21.5</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b w:val="1"/>
                <w:bCs w:val="1"/>
                <w:color w:val="auto"/>
              </w:rPr>
              <w:t>$</w:t>
            </w:r>
          </w:p>
        </w:tc>
        <w:tc>
          <w:tcPr>
            <w:tcW w:w="60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712.4</w:t>
            </w:r>
          </w:p>
        </w:tc>
        <w:tc>
          <w:tcPr>
            <w:tcW w:w="1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900" w:type="dxa"/>
            <w:vAlign w:val="bottom"/>
            <w:tcBorders>
              <w:bottom w:val="single" w:sz="8" w:color="auto"/>
            </w:tcBorders>
            <w:gridSpan w:val="4"/>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b w:val="1"/>
                <w:bCs w:val="1"/>
                <w:color w:val="auto"/>
              </w:rPr>
              <w:t>531.3</w:t>
            </w:r>
          </w:p>
        </w:tc>
        <w:tc>
          <w:tcPr>
            <w:tcW w:w="1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181.1</w:t>
            </w:r>
          </w:p>
        </w:tc>
      </w:tr>
      <w:tr>
        <w:trPr>
          <w:trHeight w:val="20"/>
        </w:trPr>
        <w:tc>
          <w:tcPr>
            <w:tcW w:w="24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Borders>
              <w:bottom w:val="single" w:sz="8" w:color="auto"/>
            </w:tcBorders>
            <w:gridSpan w:val="3"/>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40" w:type="dxa"/>
            <w:vAlign w:val="bottom"/>
            <w:tcBorders>
              <w:bottom w:val="single" w:sz="8" w:color="auto"/>
            </w:tcBorders>
            <w:gridSpan w:val="2"/>
          </w:tcPr>
          <w:p>
            <w:pPr>
              <w:spacing w:after="0" w:line="20" w:lineRule="exact"/>
              <w:rPr>
                <w:sz w:val="1"/>
                <w:szCs w:val="1"/>
                <w:color w:val="auto"/>
              </w:rPr>
            </w:pPr>
          </w:p>
        </w:tc>
      </w:tr>
      <w:tr>
        <w:trPr>
          <w:trHeight w:val="694"/>
        </w:trPr>
        <w:tc>
          <w:tcPr>
            <w:tcW w:w="24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320" w:type="dxa"/>
            <w:vAlign w:val="bottom"/>
            <w:gridSpan w:val="7"/>
          </w:tcPr>
          <w:p>
            <w:pPr>
              <w:jc w:val="center"/>
              <w:ind w:right="100"/>
              <w:spacing w:after="0"/>
              <w:rPr>
                <w:sz w:val="20"/>
                <w:szCs w:val="20"/>
                <w:color w:val="auto"/>
              </w:rPr>
            </w:pPr>
            <w:r>
              <w:rPr>
                <w:rFonts w:ascii="Times New Roman" w:cs="Times New Roman" w:eastAsia="Times New Roman" w:hAnsi="Times New Roman"/>
                <w:sz w:val="17"/>
                <w:szCs w:val="17"/>
                <w:b w:val="1"/>
                <w:bCs w:val="1"/>
                <w:color w:val="auto"/>
              </w:rPr>
              <w:t>For the Three Months Ended</w:t>
            </w: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40" w:type="dxa"/>
            <w:vAlign w:val="bottom"/>
            <w:gridSpan w:val="10"/>
          </w:tcPr>
          <w:p>
            <w:pPr>
              <w:jc w:val="right"/>
              <w:ind w:right="315"/>
              <w:spacing w:after="0"/>
              <w:rPr>
                <w:sz w:val="20"/>
                <w:szCs w:val="20"/>
                <w:color w:val="auto"/>
              </w:rPr>
            </w:pPr>
            <w:r>
              <w:rPr>
                <w:rFonts w:ascii="Times New Roman" w:cs="Times New Roman" w:eastAsia="Times New Roman" w:hAnsi="Times New Roman"/>
                <w:sz w:val="17"/>
                <w:szCs w:val="17"/>
                <w:b w:val="1"/>
                <w:bCs w:val="1"/>
                <w:color w:val="auto"/>
              </w:rPr>
              <w:t>For the Nine Months Ended</w:t>
            </w:r>
          </w:p>
        </w:tc>
      </w:tr>
      <w:tr>
        <w:trPr>
          <w:trHeight w:val="225"/>
        </w:trPr>
        <w:tc>
          <w:tcPr>
            <w:tcW w:w="24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2180" w:type="dxa"/>
            <w:vAlign w:val="bottom"/>
            <w:tcBorders>
              <w:bottom w:val="single" w:sz="8" w:color="auto"/>
            </w:tcBorders>
            <w:gridSpan w:val="6"/>
          </w:tcPr>
          <w:p>
            <w:pPr>
              <w:jc w:val="center"/>
              <w:ind w:right="220"/>
              <w:spacing w:after="0"/>
              <w:rPr>
                <w:sz w:val="20"/>
                <w:szCs w:val="20"/>
                <w:color w:val="auto"/>
              </w:rPr>
            </w:pPr>
            <w:r>
              <w:rPr>
                <w:rFonts w:ascii="Times New Roman" w:cs="Times New Roman" w:eastAsia="Times New Roman" w:hAnsi="Times New Roman"/>
                <w:sz w:val="17"/>
                <w:szCs w:val="17"/>
                <w:b w:val="1"/>
                <w:bCs w:val="1"/>
                <w:color w:val="auto"/>
              </w:rPr>
              <w:t>September 30,</w:t>
            </w:r>
          </w:p>
        </w:tc>
        <w:tc>
          <w:tcPr>
            <w:tcW w:w="22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gridSpan w:val="6"/>
          </w:tcPr>
          <w:p>
            <w:pPr>
              <w:ind w:left="140"/>
              <w:spacing w:after="0"/>
              <w:rPr>
                <w:sz w:val="20"/>
                <w:szCs w:val="20"/>
                <w:color w:val="auto"/>
              </w:rPr>
            </w:pPr>
            <w:r>
              <w:rPr>
                <w:rFonts w:ascii="Times New Roman" w:cs="Times New Roman" w:eastAsia="Times New Roman" w:hAnsi="Times New Roman"/>
                <w:sz w:val="17"/>
                <w:szCs w:val="17"/>
                <w:b w:val="1"/>
                <w:bCs w:val="1"/>
                <w:color w:val="auto"/>
              </w:rPr>
              <w:t>September 30,</w:t>
            </w:r>
          </w:p>
        </w:tc>
        <w:tc>
          <w:tcPr>
            <w:tcW w:w="880" w:type="dxa"/>
            <w:vAlign w:val="bottom"/>
            <w:tcBorders>
              <w:bottom w:val="single" w:sz="8" w:color="auto"/>
            </w:tcBorders>
          </w:tcPr>
          <w:p>
            <w:pPr>
              <w:spacing w:after="0"/>
              <w:rPr>
                <w:sz w:val="19"/>
                <w:szCs w:val="19"/>
                <w:color w:val="auto"/>
              </w:rPr>
            </w:pPr>
          </w:p>
        </w:tc>
      </w:tr>
      <w:tr>
        <w:trPr>
          <w:trHeight w:val="223"/>
        </w:trPr>
        <w:tc>
          <w:tcPr>
            <w:tcW w:w="4440" w:type="dxa"/>
            <w:vAlign w:val="bottom"/>
            <w:tcBorders>
              <w:bottom w:val="single" w:sz="8" w:color="CCEEFF"/>
            </w:tcBorders>
            <w:gridSpan w:val="6"/>
          </w:tcPr>
          <w:p>
            <w:pPr>
              <w:ind w:left="20"/>
              <w:spacing w:after="0"/>
              <w:rPr>
                <w:sz w:val="20"/>
                <w:szCs w:val="20"/>
                <w:color w:val="auto"/>
              </w:rPr>
            </w:pPr>
            <w:r>
              <w:rPr>
                <w:rFonts w:ascii="Times New Roman" w:cs="Times New Roman" w:eastAsia="Times New Roman" w:hAnsi="Times New Roman"/>
                <w:sz w:val="17"/>
                <w:szCs w:val="17"/>
                <w:b w:val="1"/>
                <w:bCs w:val="1"/>
                <w:color w:val="auto"/>
              </w:rPr>
              <w:t>Reconciliation of GAAP to non-GAAP financial measure:</w:t>
            </w:r>
          </w:p>
        </w:tc>
        <w:tc>
          <w:tcPr>
            <w:tcW w:w="14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7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415"/>
              <w:spacing w:after="0"/>
              <w:rPr>
                <w:sz w:val="20"/>
                <w:szCs w:val="20"/>
                <w:color w:val="auto"/>
              </w:rPr>
            </w:pPr>
            <w:r>
              <w:rPr>
                <w:rFonts w:ascii="Times New Roman" w:cs="Times New Roman" w:eastAsia="Times New Roman" w:hAnsi="Times New Roman"/>
                <w:sz w:val="17"/>
                <w:szCs w:val="17"/>
                <w:b w:val="1"/>
                <w:bCs w:val="1"/>
                <w:color w:val="auto"/>
              </w:rPr>
              <w:t>2026</w:t>
            </w:r>
          </w:p>
        </w:tc>
        <w:tc>
          <w:tcPr>
            <w:tcW w:w="12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7"/>
                <w:szCs w:val="17"/>
                <w:b w:val="1"/>
                <w:bCs w:val="1"/>
                <w:color w:val="auto"/>
              </w:rPr>
              <w:t>2025</w:t>
            </w:r>
          </w:p>
        </w:tc>
        <w:tc>
          <w:tcPr>
            <w:tcW w:w="1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gridSpan w:val="3"/>
          </w:tcPr>
          <w:p>
            <w:pPr>
              <w:jc w:val="center"/>
              <w:ind w:right="315"/>
              <w:spacing w:after="0"/>
              <w:rPr>
                <w:sz w:val="20"/>
                <w:szCs w:val="20"/>
                <w:color w:val="auto"/>
              </w:rPr>
            </w:pPr>
            <w:r>
              <w:rPr>
                <w:rFonts w:ascii="Times New Roman" w:cs="Times New Roman" w:eastAsia="Times New Roman" w:hAnsi="Times New Roman"/>
                <w:sz w:val="17"/>
                <w:szCs w:val="17"/>
                <w:b w:val="1"/>
                <w:bCs w:val="1"/>
                <w:color w:val="auto"/>
                <w:w w:val="99"/>
              </w:rPr>
              <w:t>2026</w:t>
            </w:r>
          </w:p>
        </w:tc>
        <w:tc>
          <w:tcPr>
            <w:tcW w:w="6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7"/>
                <w:szCs w:val="17"/>
                <w:b w:val="1"/>
                <w:bCs w:val="1"/>
                <w:color w:val="auto"/>
              </w:rPr>
              <w:t>2025</w:t>
            </w:r>
          </w:p>
        </w:tc>
      </w:tr>
      <w:tr>
        <w:trPr>
          <w:trHeight w:val="223"/>
        </w:trPr>
        <w:tc>
          <w:tcPr>
            <w:tcW w:w="3800" w:type="dxa"/>
            <w:vAlign w:val="bottom"/>
            <w:gridSpan w:val="5"/>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Net cash provided by (used in) operating activities</w:t>
            </w:r>
          </w:p>
        </w:tc>
        <w:tc>
          <w:tcPr>
            <w:tcW w:w="6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b w:val="1"/>
                <w:bCs w:val="1"/>
                <w:color w:val="auto"/>
              </w:rPr>
              <w:t>$</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175.1</w:t>
            </w:r>
          </w:p>
        </w:tc>
        <w:tc>
          <w:tcPr>
            <w:tcW w:w="120" w:type="dxa"/>
            <w:vAlign w:val="bottom"/>
            <w:shd w:val="clear" w:color="auto" w:fill="CCEEFF"/>
          </w:tcPr>
          <w:p>
            <w:pPr>
              <w:spacing w:after="0"/>
              <w:rPr>
                <w:sz w:val="19"/>
                <w:szCs w:val="19"/>
                <w:color w:val="auto"/>
              </w:rPr>
            </w:pPr>
          </w:p>
        </w:tc>
        <w:tc>
          <w:tcPr>
            <w:tcW w:w="16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7"/>
                <w:szCs w:val="17"/>
                <w:b w:val="1"/>
                <w:bCs w:val="1"/>
                <w:color w:val="auto"/>
              </w:rPr>
              <w:t>$</w:t>
            </w:r>
          </w:p>
        </w:tc>
        <w:tc>
          <w:tcPr>
            <w:tcW w:w="12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116.1</w:t>
            </w:r>
          </w:p>
        </w:tc>
        <w:tc>
          <w:tcPr>
            <w:tcW w:w="600" w:type="dxa"/>
            <w:vAlign w:val="bottom"/>
            <w:gridSpan w:val="2"/>
            <w:shd w:val="clear" w:color="auto" w:fill="CCEEFF"/>
          </w:tcPr>
          <w:p>
            <w:pPr>
              <w:jc w:val="center"/>
              <w:ind w:right="155"/>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107.5</w:t>
            </w:r>
          </w:p>
        </w:tc>
        <w:tc>
          <w:tcPr>
            <w:tcW w:w="36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b w:val="1"/>
                <w:bCs w:val="1"/>
                <w:color w:val="auto"/>
              </w:rPr>
              <w:t>$</w:t>
            </w:r>
          </w:p>
        </w:tc>
        <w:tc>
          <w:tcPr>
            <w:tcW w:w="1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258.7</w:t>
            </w:r>
          </w:p>
        </w:tc>
      </w:tr>
      <w:tr>
        <w:trPr>
          <w:trHeight w:val="230"/>
        </w:trPr>
        <w:tc>
          <w:tcPr>
            <w:tcW w:w="248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7"/>
                <w:szCs w:val="17"/>
                <w:color w:val="auto"/>
              </w:rPr>
              <w:t>Capital expenditures</w:t>
            </w:r>
          </w:p>
        </w:tc>
        <w:tc>
          <w:tcPr>
            <w:tcW w:w="140" w:type="dxa"/>
            <w:vAlign w:val="bottom"/>
            <w:tcBorders>
              <w:bottom w:val="single" w:sz="8" w:color="CCEEFF"/>
            </w:tcBorders>
          </w:tcPr>
          <w:p>
            <w:pPr>
              <w:spacing w:after="0"/>
              <w:rPr>
                <w:sz w:val="20"/>
                <w:szCs w:val="20"/>
                <w:color w:val="auto"/>
              </w:rPr>
            </w:pPr>
          </w:p>
        </w:tc>
        <w:tc>
          <w:tcPr>
            <w:tcW w:w="900" w:type="dxa"/>
            <w:vAlign w:val="bottom"/>
            <w:tcBorders>
              <w:bottom w:val="single" w:sz="8" w:color="CCEEFF"/>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160" w:type="dxa"/>
            <w:vAlign w:val="bottom"/>
            <w:tcBorders>
              <w:bottom w:val="single" w:sz="8" w:color="CCEEFF"/>
            </w:tcBorders>
          </w:tcPr>
          <w:p>
            <w:pPr>
              <w:spacing w:after="0"/>
              <w:rPr>
                <w:sz w:val="20"/>
                <w:szCs w:val="20"/>
                <w:color w:val="auto"/>
              </w:rPr>
            </w:pPr>
          </w:p>
        </w:tc>
        <w:tc>
          <w:tcPr>
            <w:tcW w:w="640" w:type="dxa"/>
            <w:vAlign w:val="bottom"/>
            <w:tcBorders>
              <w:bottom w:val="single" w:sz="8" w:color="CCEEFF"/>
            </w:tcBorders>
          </w:tcPr>
          <w:p>
            <w:pPr>
              <w:spacing w:after="0"/>
              <w:rPr>
                <w:sz w:val="20"/>
                <w:szCs w:val="20"/>
                <w:color w:val="auto"/>
              </w:rPr>
            </w:pPr>
          </w:p>
        </w:tc>
        <w:tc>
          <w:tcPr>
            <w:tcW w:w="140" w:type="dxa"/>
            <w:vAlign w:val="bottom"/>
            <w:tcBorders>
              <w:bottom w:val="single" w:sz="8" w:color="CCEEFF"/>
            </w:tcBorders>
          </w:tcPr>
          <w:p>
            <w:pPr>
              <w:spacing w:after="0"/>
              <w:rPr>
                <w:sz w:val="20"/>
                <w:szCs w:val="20"/>
                <w:color w:val="auto"/>
              </w:rPr>
            </w:pPr>
          </w:p>
        </w:tc>
        <w:tc>
          <w:tcPr>
            <w:tcW w:w="140" w:type="dxa"/>
            <w:vAlign w:val="bottom"/>
            <w:tcBorders>
              <w:bottom w:val="single" w:sz="8" w:color="CCEEFF"/>
            </w:tcBorders>
          </w:tcPr>
          <w:p>
            <w:pPr>
              <w:spacing w:after="0"/>
              <w:rPr>
                <w:sz w:val="20"/>
                <w:szCs w:val="20"/>
                <w:color w:val="auto"/>
              </w:rPr>
            </w:pPr>
          </w:p>
        </w:tc>
        <w:tc>
          <w:tcPr>
            <w:tcW w:w="72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(10.8)</w:t>
            </w:r>
          </w:p>
        </w:tc>
        <w:tc>
          <w:tcPr>
            <w:tcW w:w="12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7"/>
                <w:szCs w:val="17"/>
                <w:color w:val="auto"/>
              </w:rPr>
              <w:t>(14.1)</w:t>
            </w:r>
          </w:p>
        </w:tc>
        <w:tc>
          <w:tcPr>
            <w:tcW w:w="120" w:type="dxa"/>
            <w:vAlign w:val="bottom"/>
            <w:tcBorders>
              <w:bottom w:val="single" w:sz="8" w:color="CCEEFF"/>
            </w:tcBorders>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gridSpan w:val="2"/>
          </w:tcPr>
          <w:p>
            <w:pPr>
              <w:ind w:left="160"/>
              <w:spacing w:after="0"/>
              <w:rPr>
                <w:sz w:val="20"/>
                <w:szCs w:val="20"/>
                <w:color w:val="auto"/>
              </w:rPr>
            </w:pPr>
            <w:r>
              <w:rPr>
                <w:rFonts w:ascii="Times New Roman" w:cs="Times New Roman" w:eastAsia="Times New Roman" w:hAnsi="Times New Roman"/>
                <w:sz w:val="17"/>
                <w:szCs w:val="17"/>
                <w:color w:val="auto"/>
              </w:rPr>
              <w:t>(38.4)</w:t>
            </w:r>
          </w:p>
        </w:tc>
        <w:tc>
          <w:tcPr>
            <w:tcW w:w="12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(44.2)</w:t>
            </w:r>
          </w:p>
        </w:tc>
      </w:tr>
      <w:tr>
        <w:trPr>
          <w:trHeight w:val="243"/>
        </w:trPr>
        <w:tc>
          <w:tcPr>
            <w:tcW w:w="2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Free cash flow</w:t>
            </w:r>
          </w:p>
        </w:tc>
        <w:tc>
          <w:tcPr>
            <w:tcW w:w="14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6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9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b w:val="1"/>
                <w:bCs w:val="1"/>
                <w:color w:val="auto"/>
              </w:rPr>
              <w:t>$</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164.4</w:t>
            </w:r>
          </w:p>
        </w:tc>
        <w:tc>
          <w:tcPr>
            <w:tcW w:w="120" w:type="dxa"/>
            <w:vAlign w:val="bottom"/>
            <w:shd w:val="clear" w:color="auto" w:fill="CCEEFF"/>
          </w:tcPr>
          <w:p>
            <w:pPr>
              <w:spacing w:after="0"/>
              <w:rPr>
                <w:sz w:val="21"/>
                <w:szCs w:val="21"/>
                <w:color w:val="auto"/>
              </w:rPr>
            </w:pPr>
          </w:p>
        </w:tc>
        <w:tc>
          <w:tcPr>
            <w:tcW w:w="16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7"/>
                <w:szCs w:val="17"/>
                <w:b w:val="1"/>
                <w:bCs w:val="1"/>
                <w:color w:val="auto"/>
              </w:rPr>
              <w:t>$</w:t>
            </w:r>
          </w:p>
        </w:tc>
        <w:tc>
          <w:tcPr>
            <w:tcW w:w="12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102.0</w:t>
            </w:r>
          </w:p>
        </w:tc>
        <w:tc>
          <w:tcPr>
            <w:tcW w:w="600" w:type="dxa"/>
            <w:vAlign w:val="bottom"/>
            <w:gridSpan w:val="2"/>
            <w:shd w:val="clear" w:color="auto" w:fill="CCEEFF"/>
          </w:tcPr>
          <w:p>
            <w:pPr>
              <w:jc w:val="center"/>
              <w:ind w:right="155"/>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1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69.1</w:t>
            </w:r>
          </w:p>
        </w:tc>
        <w:tc>
          <w:tcPr>
            <w:tcW w:w="36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b w:val="1"/>
                <w:bCs w:val="1"/>
                <w:color w:val="auto"/>
              </w:rPr>
              <w:t>$</w:t>
            </w:r>
          </w:p>
        </w:tc>
        <w:tc>
          <w:tcPr>
            <w:tcW w:w="1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214.5</w:t>
            </w:r>
          </w:p>
        </w:tc>
      </w:tr>
      <w:tr>
        <w:trPr>
          <w:trHeight w:val="20"/>
        </w:trPr>
        <w:tc>
          <w:tcPr>
            <w:tcW w:w="24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r>
    </w:tbl>
    <w:p>
      <w:pPr>
        <w:spacing w:after="0" w:line="1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12</w:t>
      </w:r>
    </w:p>
    <w:sectPr>
      <w:pgSz w:w="11900" w:h="16838" w:orient="portrait"/>
      <w:cols w:equalWidth="0" w:num="1">
        <w:col w:w="11240"/>
      </w:cols>
      <w:pgMar w:left="320" w:top="136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1B71EFB"/>
    <w:multiLevelType w:val="hybridMultilevel"/>
    <w:lvl w:ilvl="0">
      <w:lvlJc w:val="left"/>
      <w:lvlText w:val="☐"/>
      <w:numFmt w:val="bullet"/>
      <w:start w:val="1"/>
    </w:lvl>
  </w:abstractNum>
  <w:abstractNum w:abstractNumId="1">
    <w:nsid w:val="79E2A9E3"/>
    <w:multiLevelType w:val="hybridMultilevel"/>
    <w:lvl w:ilvl="0">
      <w:lvlJc w:val="left"/>
      <w:lvlText w:val="•"/>
      <w:numFmt w:val="bullet"/>
      <w:start w:val="1"/>
    </w:lvl>
  </w:abstractNum>
  <w:abstractNum w:abstractNumId="2">
    <w:nsid w:val="7545E146"/>
    <w:multiLevelType w:val="hybridMultilevel"/>
    <w:lvl w:ilvl="0">
      <w:lvlJc w:val="left"/>
      <w:lvlText w:val="•"/>
      <w:numFmt w:val="bullet"/>
      <w:start w:val="1"/>
    </w:lvl>
  </w:abstractNum>
  <w:abstractNum w:abstractNumId="3">
    <w:nsid w:val="515F007C"/>
    <w:multiLevelType w:val="hybridMultilevel"/>
    <w:lvl w:ilvl="0">
      <w:lvlJc w:val="left"/>
      <w:lvlText w:val="•"/>
      <w:numFmt w:val="bullet"/>
      <w:start w:val="1"/>
    </w:lvl>
  </w:abstractNum>
  <w:abstractNum w:abstractNumId="4">
    <w:nsid w:val="5BD062C2"/>
    <w:multiLevelType w:val="hybridMultilevel"/>
    <w:lvl w:ilvl="0">
      <w:lvlJc w:val="left"/>
      <w:lvlText w:val="•"/>
      <w:numFmt w:val="bullet"/>
      <w:start w:val="1"/>
    </w:lvl>
  </w:abstractNum>
  <w:abstractNum w:abstractNumId="5">
    <w:nsid w:val="12200854"/>
    <w:multiLevelType w:val="hybridMultilevel"/>
    <w:lvl w:ilvl="0">
      <w:lvlJc w:val="left"/>
      <w:lvlText w:val="(%1)"/>
      <w:numFmt w:val="decimal"/>
      <w:start w:val="1"/>
    </w:lvl>
  </w:abstractNum>
  <w:abstractNum w:abstractNumId="6">
    <w:nsid w:val="4DB127F8"/>
    <w:multiLevelType w:val="hybridMultilevel"/>
    <w:lvl w:ilvl="0">
      <w:lvlJc w:val="left"/>
      <w:lvlText w:val="1"/>
      <w:numFmt w:val="bullet"/>
      <w:start w:val="1"/>
    </w:lvl>
  </w:abstractNum>
  <w:abstractNum w:abstractNumId="7">
    <w:nsid w:val="216231B"/>
    <w:multiLevelType w:val="hybridMultilevel"/>
    <w:lvl w:ilvl="0">
      <w:lvlJc w:val="left"/>
      <w:lvlText w:val="•"/>
      <w:numFmt w:val="bullet"/>
      <w:start w:val="1"/>
    </w:lvl>
  </w:abstractNum>
  <w:abstractNum w:abstractNumId="8">
    <w:nsid w:val="1F16E9E8"/>
    <w:multiLevelType w:val="hybridMultilevel"/>
    <w:lvl w:ilvl="0">
      <w:lvlJc w:val="left"/>
      <w:lvlText w:val="•"/>
      <w:numFmt w:val="bullet"/>
      <w:start w:val="1"/>
    </w:lvl>
  </w:abstractNum>
  <w:abstractNum w:abstractNumId="9">
    <w:nsid w:val="1190CDE7"/>
    <w:multiLevelType w:val="hybridMultilevel"/>
    <w:lvl w:ilvl="0">
      <w:lvlJc w:val="left"/>
      <w:lvlText w:val="•"/>
      <w:numFmt w:val="bullet"/>
      <w:start w:val="1"/>
    </w:lvl>
  </w:abstractNum>
  <w:abstractNum w:abstractNumId="10">
    <w:nsid w:val="66EF438D"/>
    <w:multiLevelType w:val="hybridMultilevel"/>
    <w:lvl w:ilvl="0">
      <w:lvlJc w:val="left"/>
      <w:lvlText w:val="(%1)"/>
      <w:numFmt w:val="decimal"/>
      <w:start w:val="1"/>
    </w:lvl>
  </w:abstractNum>
  <w:abstractNum w:abstractNumId="11">
    <w:nsid w:val="140E0F76"/>
    <w:multiLevelType w:val="hybridMultilevel"/>
    <w:lvl w:ilvl="0">
      <w:lvlJc w:val="left"/>
      <w:lvlText w:val="(%1)"/>
      <w:numFmt w:val="decimal"/>
      <w:start w:val="1"/>
    </w:lvl>
  </w:abstractNum>
  <w:abstractNum w:abstractNumId="12">
    <w:nsid w:val="3352255A"/>
    <w:multiLevelType w:val="hybridMultilevel"/>
    <w:lvl w:ilvl="0">
      <w:lvlJc w:val="left"/>
      <w:lvlText w:val="(%1)"/>
      <w:numFmt w:val="decimal"/>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2026-10-29T16:20:38Z</dcterms:created>
  <dcterms:modified xsi:type="dcterms:W3CDTF">2026-10-29T16:20:38Z</dcterms:modified>
</cp:coreProperties>
</file>