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4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8" w:lineRule="exact"/>
        <w:rPr>
          <w:sz w:val="24"/>
          <w:szCs w:val="24"/>
          <w:color w:val="auto"/>
        </w:rPr>
      </w:pPr>
    </w:p>
    <w:p>
      <w:pPr>
        <w:ind w:left="580" w:hanging="260"/>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12"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For the quarterly period ended September 30, 2026</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154" w:lineRule="exact"/>
        <w:rPr>
          <w:sz w:val="24"/>
          <w:szCs w:val="24"/>
          <w:color w:val="auto"/>
        </w:rPr>
      </w:pPr>
    </w:p>
    <w:p>
      <w:pPr>
        <w:ind w:left="580" w:hanging="315"/>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14"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For the transition period from __________ to ___________</w:t>
      </w:r>
    </w:p>
    <w:p>
      <w:pPr>
        <w:spacing w:after="0" w:line="1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001-09533</w:t>
      </w: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WORLD KINECT CORPORATION</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68" w:lineRule="exact"/>
        <w:rPr>
          <w:sz w:val="24"/>
          <w:szCs w:val="24"/>
          <w:color w:val="auto"/>
        </w:rPr>
      </w:pPr>
    </w:p>
    <w:tbl>
      <w:tblPr>
        <w:tblLayout w:type="fixed"/>
        <w:tblInd w:w="340" w:type="dxa"/>
        <w:tblCellMar>
          <w:top w:w="0" w:type="dxa"/>
          <w:left w:w="0" w:type="dxa"/>
          <w:bottom w:w="0" w:type="dxa"/>
          <w:right w:w="0" w:type="dxa"/>
        </w:tblCellMar>
      </w:tblPr>
      <w:tr>
        <w:trPr>
          <w:trHeight w:val="221"/>
        </w:trPr>
        <w:tc>
          <w:tcPr>
            <w:tcW w:w="640" w:type="dxa"/>
            <w:vAlign w:val="bottom"/>
          </w:tcPr>
          <w:p>
            <w:pPr>
              <w:spacing w:after="0"/>
              <w:rPr>
                <w:sz w:val="19"/>
                <w:szCs w:val="19"/>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7"/>
              </w:rPr>
              <w:t>Florida</w:t>
            </w:r>
          </w:p>
        </w:tc>
        <w:tc>
          <w:tcPr>
            <w:tcW w:w="2220" w:type="dxa"/>
            <w:vAlign w:val="bottom"/>
            <w:gridSpan w:val="2"/>
          </w:tcPr>
          <w:p>
            <w:pPr>
              <w:jc w:val="right"/>
              <w:spacing w:after="0"/>
              <w:rPr>
                <w:sz w:val="20"/>
                <w:szCs w:val="20"/>
                <w:color w:val="auto"/>
              </w:rPr>
            </w:pPr>
            <w:r>
              <w:rPr>
                <w:rFonts w:ascii="Arial" w:cs="Arial" w:eastAsia="Arial" w:hAnsi="Arial"/>
                <w:sz w:val="16"/>
                <w:szCs w:val="16"/>
                <w:b w:val="1"/>
                <w:bCs w:val="1"/>
                <w:color w:val="auto"/>
              </w:rPr>
              <w:t>9800 N.W. 41st Street,</w:t>
            </w:r>
          </w:p>
        </w:tc>
        <w:tc>
          <w:tcPr>
            <w:tcW w:w="2060" w:type="dxa"/>
            <w:vAlign w:val="bottom"/>
            <w:gridSpan w:val="2"/>
          </w:tcPr>
          <w:p>
            <w:pPr>
              <w:ind w:left="200"/>
              <w:spacing w:after="0"/>
              <w:rPr>
                <w:sz w:val="20"/>
                <w:szCs w:val="20"/>
                <w:color w:val="auto"/>
              </w:rPr>
            </w:pPr>
            <w:r>
              <w:rPr>
                <w:rFonts w:ascii="Arial" w:cs="Arial" w:eastAsia="Arial" w:hAnsi="Arial"/>
                <w:sz w:val="16"/>
                <w:szCs w:val="16"/>
                <w:b w:val="1"/>
                <w:bCs w:val="1"/>
                <w:color w:val="auto"/>
              </w:rPr>
              <w:t>Miami,   Florida</w:t>
            </w:r>
          </w:p>
        </w:tc>
        <w:tc>
          <w:tcPr>
            <w:tcW w:w="660" w:type="dxa"/>
            <w:vAlign w:val="bottom"/>
          </w:tcPr>
          <w:p>
            <w:pPr>
              <w:jc w:val="right"/>
              <w:ind w:right="100"/>
              <w:spacing w:after="0"/>
              <w:rPr>
                <w:sz w:val="20"/>
                <w:szCs w:val="20"/>
                <w:color w:val="auto"/>
              </w:rPr>
            </w:pPr>
            <w:r>
              <w:rPr>
                <w:rFonts w:ascii="Arial" w:cs="Arial" w:eastAsia="Arial" w:hAnsi="Arial"/>
                <w:sz w:val="16"/>
                <w:szCs w:val="16"/>
                <w:b w:val="1"/>
                <w:bCs w:val="1"/>
                <w:color w:val="auto"/>
              </w:rPr>
              <w:t>33178</w:t>
            </w:r>
          </w:p>
        </w:tc>
        <w:tc>
          <w:tcPr>
            <w:tcW w:w="2980" w:type="dxa"/>
            <w:vAlign w:val="bottom"/>
            <w:gridSpan w:val="2"/>
          </w:tcPr>
          <w:p>
            <w:pPr>
              <w:jc w:val="center"/>
              <w:ind w:left="84"/>
              <w:spacing w:after="0"/>
              <w:rPr>
                <w:sz w:val="20"/>
                <w:szCs w:val="20"/>
                <w:color w:val="auto"/>
              </w:rPr>
            </w:pPr>
            <w:r>
              <w:rPr>
                <w:rFonts w:ascii="Arial" w:cs="Arial" w:eastAsia="Arial" w:hAnsi="Arial"/>
                <w:sz w:val="16"/>
                <w:szCs w:val="16"/>
                <w:b w:val="1"/>
                <w:bCs w:val="1"/>
                <w:color w:val="auto"/>
              </w:rPr>
              <w:t>59-2459427</w:t>
            </w:r>
          </w:p>
        </w:tc>
      </w:tr>
      <w:tr>
        <w:trPr>
          <w:trHeight w:val="158"/>
        </w:trPr>
        <w:tc>
          <w:tcPr>
            <w:tcW w:w="2840" w:type="dxa"/>
            <w:vAlign w:val="bottom"/>
            <w:gridSpan w:val="3"/>
          </w:tcPr>
          <w:p>
            <w:pPr>
              <w:jc w:val="center"/>
              <w:ind w:right="420"/>
              <w:spacing w:after="0" w:line="157" w:lineRule="exact"/>
              <w:rPr>
                <w:sz w:val="20"/>
                <w:szCs w:val="20"/>
                <w:color w:val="auto"/>
              </w:rPr>
            </w:pPr>
            <w:r>
              <w:rPr>
                <w:rFonts w:ascii="Arial" w:cs="Arial" w:eastAsia="Arial" w:hAnsi="Arial"/>
                <w:sz w:val="14"/>
                <w:szCs w:val="14"/>
                <w:color w:val="auto"/>
              </w:rPr>
              <w:t>(State or other jurisdiction of</w:t>
            </w:r>
          </w:p>
        </w:tc>
        <w:tc>
          <w:tcPr>
            <w:tcW w:w="4280" w:type="dxa"/>
            <w:vAlign w:val="bottom"/>
            <w:gridSpan w:val="4"/>
          </w:tcPr>
          <w:p>
            <w:pPr>
              <w:jc w:val="center"/>
              <w:ind w:left="502"/>
              <w:spacing w:after="0" w:line="157" w:lineRule="exact"/>
              <w:rPr>
                <w:sz w:val="20"/>
                <w:szCs w:val="20"/>
                <w:color w:val="auto"/>
              </w:rPr>
            </w:pPr>
            <w:r>
              <w:rPr>
                <w:rFonts w:ascii="Arial" w:cs="Arial" w:eastAsia="Arial" w:hAnsi="Arial"/>
                <w:sz w:val="14"/>
                <w:szCs w:val="14"/>
                <w:color w:val="auto"/>
              </w:rPr>
              <w:t>(Address of Principal Executive Offices) (Zip Code)</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tcPr>
          <w:p>
            <w:pPr>
              <w:jc w:val="center"/>
              <w:spacing w:after="0" w:line="157" w:lineRule="exact"/>
              <w:rPr>
                <w:sz w:val="20"/>
                <w:szCs w:val="20"/>
                <w:color w:val="auto"/>
              </w:rPr>
            </w:pPr>
            <w:r>
              <w:rPr>
                <w:rFonts w:ascii="Arial" w:cs="Arial" w:eastAsia="Arial" w:hAnsi="Arial"/>
                <w:sz w:val="14"/>
                <w:szCs w:val="14"/>
                <w:color w:val="auto"/>
              </w:rPr>
              <w:t>(I.R.S. Employer</w:t>
            </w:r>
          </w:p>
        </w:tc>
      </w:tr>
      <w:tr>
        <w:trPr>
          <w:trHeight w:val="189"/>
        </w:trPr>
        <w:tc>
          <w:tcPr>
            <w:tcW w:w="2840" w:type="dxa"/>
            <w:vAlign w:val="bottom"/>
            <w:gridSpan w:val="3"/>
          </w:tcPr>
          <w:p>
            <w:pPr>
              <w:jc w:val="center"/>
              <w:ind w:right="440"/>
              <w:spacing w:after="0"/>
              <w:rPr>
                <w:sz w:val="20"/>
                <w:szCs w:val="20"/>
                <w:color w:val="auto"/>
              </w:rPr>
            </w:pPr>
            <w:r>
              <w:rPr>
                <w:rFonts w:ascii="Arial" w:cs="Arial" w:eastAsia="Arial" w:hAnsi="Arial"/>
                <w:sz w:val="14"/>
                <w:szCs w:val="14"/>
                <w:color w:val="auto"/>
              </w:rPr>
              <w:t>incorporation or organization)</w:t>
            </w:r>
          </w:p>
        </w:tc>
        <w:tc>
          <w:tcPr>
            <w:tcW w:w="1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Arial" w:cs="Arial" w:eastAsia="Arial" w:hAnsi="Arial"/>
                <w:sz w:val="14"/>
                <w:szCs w:val="14"/>
                <w:color w:val="auto"/>
              </w:rPr>
              <w:t>Identification No.)</w:t>
            </w:r>
          </w:p>
        </w:tc>
      </w:tr>
      <w:tr>
        <w:trPr>
          <w:trHeight w:val="227"/>
        </w:trPr>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20" w:type="dxa"/>
            <w:vAlign w:val="bottom"/>
            <w:gridSpan w:val="2"/>
          </w:tcPr>
          <w:p>
            <w:pPr>
              <w:jc w:val="right"/>
              <w:ind w:right="149"/>
              <w:spacing w:after="0"/>
              <w:rPr>
                <w:sz w:val="20"/>
                <w:szCs w:val="20"/>
                <w:color w:val="auto"/>
              </w:rPr>
            </w:pPr>
            <w:r>
              <w:rPr>
                <w:rFonts w:ascii="Arial" w:cs="Arial" w:eastAsia="Arial" w:hAnsi="Arial"/>
                <w:sz w:val="16"/>
                <w:szCs w:val="16"/>
                <w:b w:val="1"/>
                <w:bCs w:val="1"/>
                <w:color w:val="auto"/>
              </w:rPr>
              <w:t>(  305  )</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428-8000</w:t>
            </w: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7"/>
        </w:trPr>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80" w:type="dxa"/>
            <w:vAlign w:val="bottom"/>
            <w:gridSpan w:val="4"/>
          </w:tcPr>
          <w:p>
            <w:pPr>
              <w:jc w:val="center"/>
              <w:ind w:left="502"/>
              <w:spacing w:after="0"/>
              <w:rPr>
                <w:sz w:val="20"/>
                <w:szCs w:val="20"/>
                <w:color w:val="auto"/>
              </w:rPr>
            </w:pPr>
            <w:r>
              <w:rPr>
                <w:rFonts w:ascii="Arial" w:cs="Arial" w:eastAsia="Arial" w:hAnsi="Arial"/>
                <w:sz w:val="16"/>
                <w:szCs w:val="16"/>
                <w:color w:val="auto"/>
              </w:rPr>
              <w:t>Registrant’s telephone number, including area code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494"/>
        </w:trPr>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940" w:type="dxa"/>
            <w:vAlign w:val="bottom"/>
            <w:gridSpan w:val="5"/>
          </w:tcPr>
          <w:p>
            <w:pPr>
              <w:jc w:val="center"/>
              <w:spacing w:after="0"/>
              <w:rPr>
                <w:sz w:val="20"/>
                <w:szCs w:val="20"/>
                <w:color w:val="auto"/>
              </w:rPr>
            </w:pPr>
            <w:r>
              <w:rPr>
                <w:rFonts w:ascii="Arial" w:cs="Arial" w:eastAsia="Arial" w:hAnsi="Arial"/>
                <w:sz w:val="16"/>
                <w:szCs w:val="16"/>
                <w:color w:val="auto"/>
                <w:w w:val="99"/>
              </w:rPr>
              <w:t>Securities registered pursuant to Section 12(b) of the Act</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77"/>
        </w:trPr>
        <w:tc>
          <w:tcPr>
            <w:tcW w:w="640" w:type="dxa"/>
            <w:vAlign w:val="bottom"/>
          </w:tcPr>
          <w:p>
            <w:pPr>
              <w:spacing w:after="0"/>
              <w:rPr>
                <w:sz w:val="15"/>
                <w:szCs w:val="15"/>
                <w:color w:val="auto"/>
              </w:rPr>
            </w:pPr>
          </w:p>
        </w:tc>
        <w:tc>
          <w:tcPr>
            <w:tcW w:w="2200" w:type="dxa"/>
            <w:vAlign w:val="bottom"/>
            <w:gridSpan w:val="2"/>
          </w:tcPr>
          <w:p>
            <w:pPr>
              <w:jc w:val="center"/>
              <w:ind w:right="1080"/>
              <w:spacing w:after="0"/>
              <w:rPr>
                <w:sz w:val="20"/>
                <w:szCs w:val="20"/>
                <w:color w:val="auto"/>
              </w:rPr>
            </w:pPr>
            <w:r>
              <w:rPr>
                <w:rFonts w:ascii="Arial" w:cs="Arial" w:eastAsia="Arial" w:hAnsi="Arial"/>
                <w:sz w:val="14"/>
                <w:szCs w:val="14"/>
                <w:color w:val="auto"/>
                <w:w w:val="99"/>
              </w:rPr>
              <w:t>Title of each class</w:t>
            </w:r>
          </w:p>
        </w:tc>
        <w:tc>
          <w:tcPr>
            <w:tcW w:w="1840" w:type="dxa"/>
            <w:vAlign w:val="bottom"/>
          </w:tcPr>
          <w:p>
            <w:pPr>
              <w:spacing w:after="0"/>
              <w:rPr>
                <w:sz w:val="15"/>
                <w:szCs w:val="15"/>
                <w:color w:val="auto"/>
              </w:rPr>
            </w:pPr>
          </w:p>
        </w:tc>
        <w:tc>
          <w:tcPr>
            <w:tcW w:w="2440" w:type="dxa"/>
            <w:vAlign w:val="bottom"/>
            <w:gridSpan w:val="3"/>
          </w:tcPr>
          <w:p>
            <w:pPr>
              <w:jc w:val="center"/>
              <w:ind w:right="1260"/>
              <w:spacing w:after="0"/>
              <w:rPr>
                <w:sz w:val="20"/>
                <w:szCs w:val="20"/>
                <w:color w:val="auto"/>
              </w:rPr>
            </w:pPr>
            <w:r>
              <w:rPr>
                <w:rFonts w:ascii="Arial" w:cs="Arial" w:eastAsia="Arial" w:hAnsi="Arial"/>
                <w:sz w:val="14"/>
                <w:szCs w:val="14"/>
                <w:color w:val="auto"/>
                <w:w w:val="99"/>
              </w:rPr>
              <w:t>Trading Symbol (s)</w:t>
            </w:r>
          </w:p>
        </w:tc>
        <w:tc>
          <w:tcPr>
            <w:tcW w:w="660" w:type="dxa"/>
            <w:vAlign w:val="bottom"/>
          </w:tcPr>
          <w:p>
            <w:pPr>
              <w:spacing w:after="0"/>
              <w:rPr>
                <w:sz w:val="15"/>
                <w:szCs w:val="15"/>
                <w:color w:val="auto"/>
              </w:rPr>
            </w:pPr>
          </w:p>
        </w:tc>
        <w:tc>
          <w:tcPr>
            <w:tcW w:w="2980" w:type="dxa"/>
            <w:vAlign w:val="bottom"/>
            <w:gridSpan w:val="2"/>
          </w:tcPr>
          <w:p>
            <w:pPr>
              <w:jc w:val="center"/>
              <w:ind w:left="84"/>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53"/>
        </w:trPr>
        <w:tc>
          <w:tcPr>
            <w:tcW w:w="28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9"/>
              </w:rPr>
              <w:t>Common Stock, $0.01 par value</w:t>
            </w:r>
          </w:p>
        </w:tc>
        <w:tc>
          <w:tcPr>
            <w:tcW w:w="1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60" w:type="dxa"/>
            <w:vAlign w:val="bottom"/>
            <w:gridSpan w:val="2"/>
          </w:tcPr>
          <w:p>
            <w:pPr>
              <w:jc w:val="center"/>
              <w:ind w:right="1640"/>
              <w:spacing w:after="0"/>
              <w:rPr>
                <w:sz w:val="20"/>
                <w:szCs w:val="20"/>
                <w:color w:val="auto"/>
              </w:rPr>
            </w:pPr>
            <w:r>
              <w:rPr>
                <w:rFonts w:ascii="Arial" w:cs="Arial" w:eastAsia="Arial" w:hAnsi="Arial"/>
                <w:sz w:val="16"/>
                <w:szCs w:val="16"/>
                <w:b w:val="1"/>
                <w:bCs w:val="1"/>
                <w:color w:val="auto"/>
                <w:w w:val="99"/>
              </w:rPr>
              <w:t>WKC</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Arial" w:cs="Arial" w:eastAsia="Arial" w:hAnsi="Arial"/>
                <w:sz w:val="16"/>
                <w:szCs w:val="16"/>
                <w:b w:val="1"/>
                <w:bCs w:val="1"/>
                <w:color w:val="auto"/>
                <w:w w:val="99"/>
              </w:rPr>
              <w:t>New York Stock Exchange</w:t>
            </w:r>
          </w:p>
        </w:tc>
      </w:tr>
    </w:tbl>
    <w:p>
      <w:pPr>
        <w:spacing w:after="0" w:line="233"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80" w:hanging="273"/>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2"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60"/>
        <w:spacing w:after="0" w:line="184" w:lineRule="exact"/>
        <w:tabs>
          <w:tab w:leader="none" w:pos="3400" w:val="left"/>
          <w:tab w:leader="none" w:pos="52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212"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line="184" w:lineRule="exact"/>
        <w:tabs>
          <w:tab w:leader="none" w:pos="86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a total of 51,151,620 shares of common stock, par value $0.01 per share, issued and outstanding as of October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650240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4"/>
          </w:tcPr>
          <w:p>
            <w:pPr>
              <w:spacing w:after="0"/>
              <w:rPr>
                <w:sz w:val="20"/>
                <w:szCs w:val="20"/>
                <w:color w:val="auto"/>
              </w:rPr>
            </w:pPr>
            <w:r>
              <w:rPr>
                <w:rFonts w:ascii="Arial" w:cs="Arial" w:eastAsia="Arial" w:hAnsi="Arial"/>
                <w:sz w:val="18"/>
                <w:szCs w:val="18"/>
                <w:b w:val="1"/>
                <w:bCs w:val="1"/>
                <w:color w:val="0E32E1"/>
              </w:rPr>
              <w:t>PART I.</w:t>
            </w:r>
          </w:p>
        </w:tc>
        <w:tc>
          <w:tcPr>
            <w:tcW w:w="9460" w:type="dxa"/>
            <w:vAlign w:val="bottom"/>
            <w:gridSpan w:val="16"/>
          </w:tcPr>
          <w:p>
            <w:pPr>
              <w:spacing w:after="0"/>
              <w:rPr>
                <w:sz w:val="20"/>
                <w:szCs w:val="20"/>
                <w:color w:val="auto"/>
              </w:rPr>
            </w:pPr>
            <w:r>
              <w:rPr>
                <w:rFonts w:ascii="Arial" w:cs="Arial" w:eastAsia="Arial" w:hAnsi="Arial"/>
                <w:sz w:val="18"/>
                <w:szCs w:val="18"/>
                <w:color w:val="0E32E1"/>
              </w:rPr>
              <w:t>Financial Information</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620" w:type="dxa"/>
            <w:vAlign w:val="bottom"/>
            <w:gridSpan w:val="2"/>
          </w:tcPr>
          <w:p>
            <w:pPr>
              <w:spacing w:after="0"/>
              <w:rPr>
                <w:sz w:val="20"/>
                <w:szCs w:val="20"/>
                <w:color w:val="auto"/>
              </w:rPr>
            </w:pPr>
            <w:r>
              <w:rPr>
                <w:rFonts w:ascii="Arial" w:cs="Arial" w:eastAsia="Arial" w:hAnsi="Arial"/>
                <w:sz w:val="18"/>
                <w:szCs w:val="18"/>
                <w:color w:val="0E32E1"/>
              </w:rPr>
              <w:t>Item 1.</w:t>
            </w:r>
          </w:p>
        </w:tc>
        <w:tc>
          <w:tcPr>
            <w:tcW w:w="440" w:type="dxa"/>
            <w:vAlign w:val="bottom"/>
            <w:gridSpan w:val="2"/>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Financial Statements (Unaudited)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Condensed Consolidated Balance Sheets as of September 30, 2026 and December 31, 2025</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1</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60" w:type="dxa"/>
            <w:vAlign w:val="bottom"/>
            <w:gridSpan w:val="2"/>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shd w:val="clear" w:color="auto" w:fill="0E32E1"/>
          </w:tcPr>
          <w:p>
            <w:pPr>
              <w:spacing w:after="0" w:line="20" w:lineRule="exact"/>
              <w:rPr>
                <w:sz w:val="1"/>
                <w:szCs w:val="1"/>
                <w:color w:val="auto"/>
              </w:rPr>
            </w:pPr>
          </w:p>
        </w:tc>
        <w:tc>
          <w:tcPr>
            <w:tcW w:w="340" w:type="dxa"/>
            <w:vAlign w:val="bottom"/>
            <w:shd w:val="clear" w:color="auto" w:fill="0E32E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Condensed Consolidated Statements of Income and Comprehensive Income for the Three and Nine Months Ended</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2</w:t>
            </w: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00" w:type="dxa"/>
            <w:vAlign w:val="bottom"/>
            <w:tcBorders>
              <w:top w:val="single" w:sz="8" w:color="0E32E1"/>
            </w:tcBorders>
            <w:gridSpan w:val="15"/>
          </w:tcPr>
          <w:p>
            <w:pPr>
              <w:spacing w:after="0" w:line="167" w:lineRule="exact"/>
              <w:rPr>
                <w:sz w:val="20"/>
                <w:szCs w:val="20"/>
                <w:color w:val="auto"/>
              </w:rPr>
            </w:pPr>
            <w:r>
              <w:rPr>
                <w:rFonts w:ascii="Arial" w:cs="Arial" w:eastAsia="Arial" w:hAnsi="Arial"/>
                <w:sz w:val="18"/>
                <w:szCs w:val="18"/>
                <w:color w:val="0E32E1"/>
              </w:rPr>
              <w:t>September 30, 2026 and 2025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Condensed Consolidated Statements of Shareholders' Equity for the Three and Nine Months Ended September 30,</w:t>
            </w:r>
          </w:p>
        </w:tc>
        <w:tc>
          <w:tcPr>
            <w:tcW w:w="380" w:type="dxa"/>
            <w:vAlign w:val="bottom"/>
            <w:gridSpan w:val="3"/>
          </w:tcPr>
          <w:p>
            <w:pPr>
              <w:jc w:val="center"/>
              <w:ind w:left="71"/>
              <w:spacing w:after="0"/>
              <w:rPr>
                <w:sz w:val="20"/>
                <w:szCs w:val="20"/>
                <w:color w:val="auto"/>
              </w:rPr>
            </w:pPr>
            <w:r>
              <w:rPr>
                <w:rFonts w:ascii="Arial" w:cs="Arial" w:eastAsia="Arial" w:hAnsi="Arial"/>
                <w:sz w:val="18"/>
                <w:szCs w:val="18"/>
                <w:color w:val="0E32E1"/>
                <w:w w:val="99"/>
              </w:rPr>
              <w:t>3</w:t>
            </w:r>
          </w:p>
        </w:tc>
      </w:tr>
      <w:tr>
        <w:trPr>
          <w:trHeight w:val="167"/>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80" w:type="dxa"/>
            <w:vAlign w:val="bottom"/>
            <w:tcBorders>
              <w:top w:val="single" w:sz="8" w:color="0E32E1"/>
            </w:tcBorders>
            <w:gridSpan w:val="14"/>
          </w:tcPr>
          <w:p>
            <w:pPr>
              <w:spacing w:after="0" w:line="167" w:lineRule="exact"/>
              <w:rPr>
                <w:sz w:val="20"/>
                <w:szCs w:val="20"/>
                <w:color w:val="auto"/>
              </w:rPr>
            </w:pPr>
            <w:r>
              <w:rPr>
                <w:rFonts w:ascii="Arial" w:cs="Arial" w:eastAsia="Arial" w:hAnsi="Arial"/>
                <w:sz w:val="18"/>
                <w:szCs w:val="18"/>
                <w:color w:val="0E32E1"/>
              </w:rPr>
              <w:t>2026 and 2025</w:t>
            </w:r>
          </w:p>
        </w:tc>
        <w:tc>
          <w:tcPr>
            <w:tcW w:w="1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0E32E1"/>
            </w:tcBorders>
          </w:tcPr>
          <w:p>
            <w:pPr>
              <w:spacing w:after="0"/>
              <w:rPr>
                <w:sz w:val="14"/>
                <w:szCs w:val="14"/>
                <w:color w:val="auto"/>
              </w:rPr>
            </w:pPr>
          </w:p>
        </w:tc>
        <w:tc>
          <w:tcPr>
            <w:tcW w:w="60" w:type="dxa"/>
            <w:vAlign w:val="bottom"/>
          </w:tcPr>
          <w:p>
            <w:pPr>
              <w:spacing w:after="0"/>
              <w:rPr>
                <w:sz w:val="14"/>
                <w:szCs w:val="14"/>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740" w:type="dxa"/>
            <w:vAlign w:val="bottom"/>
            <w:gridSpan w:val="13"/>
          </w:tcPr>
          <w:p>
            <w:pPr>
              <w:spacing w:after="0"/>
              <w:rPr>
                <w:sz w:val="20"/>
                <w:szCs w:val="20"/>
                <w:color w:val="auto"/>
              </w:rPr>
            </w:pPr>
            <w:r>
              <w:rPr>
                <w:rFonts w:ascii="Arial" w:cs="Arial" w:eastAsia="Arial" w:hAnsi="Arial"/>
                <w:sz w:val="18"/>
                <w:szCs w:val="18"/>
                <w:color w:val="0E32E1"/>
                <w:w w:val="98"/>
              </w:rPr>
              <w:t>Condensed Consolidated Statements of Cash Flows for the Nine Months Ended September 30, 2026 and 2025</w:t>
            </w:r>
          </w:p>
        </w:tc>
        <w:tc>
          <w:tcPr>
            <w:tcW w:w="72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5</w:t>
            </w: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shd w:val="clear" w:color="auto" w:fill="0E32E1"/>
          </w:tcPr>
          <w:p>
            <w:pPr>
              <w:spacing w:after="0" w:line="20" w:lineRule="exact"/>
              <w:rPr>
                <w:sz w:val="1"/>
                <w:szCs w:val="1"/>
                <w:color w:val="auto"/>
              </w:rPr>
            </w:pPr>
          </w:p>
        </w:tc>
        <w:tc>
          <w:tcPr>
            <w:tcW w:w="1740" w:type="dxa"/>
            <w:vAlign w:val="bottom"/>
            <w:gridSpan w:val="2"/>
            <w:shd w:val="clear" w:color="auto" w:fill="0E32E1"/>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60" w:type="dxa"/>
            <w:vAlign w:val="bottom"/>
            <w:gridSpan w:val="9"/>
          </w:tcPr>
          <w:p>
            <w:pPr>
              <w:spacing w:after="0"/>
              <w:rPr>
                <w:sz w:val="20"/>
                <w:szCs w:val="20"/>
                <w:color w:val="auto"/>
              </w:rPr>
            </w:pPr>
            <w:r>
              <w:rPr>
                <w:rFonts w:ascii="Arial" w:cs="Arial" w:eastAsia="Arial" w:hAnsi="Arial"/>
                <w:sz w:val="18"/>
                <w:szCs w:val="18"/>
                <w:color w:val="0E32E1"/>
                <w:w w:val="96"/>
              </w:rPr>
              <w:t>Notes to the Condensed Consolidated Financial Statements</w:t>
            </w:r>
          </w:p>
        </w:tc>
        <w:tc>
          <w:tcPr>
            <w:tcW w:w="4080" w:type="dxa"/>
            <w:vAlign w:val="bottom"/>
            <w:gridSpan w:val="4"/>
          </w:tcPr>
          <w:p>
            <w:pPr>
              <w:spacing w:after="0"/>
              <w:rPr>
                <w:sz w:val="19"/>
                <w:szCs w:val="19"/>
                <w:color w:val="auto"/>
              </w:rPr>
            </w:pPr>
          </w:p>
        </w:tc>
        <w:tc>
          <w:tcPr>
            <w:tcW w:w="72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gridSpan w:val="2"/>
          </w:tcPr>
          <w:p>
            <w:pPr>
              <w:jc w:val="center"/>
              <w:ind w:right="60"/>
              <w:spacing w:after="0"/>
              <w:rPr>
                <w:sz w:val="20"/>
                <w:szCs w:val="20"/>
                <w:color w:val="auto"/>
              </w:rPr>
            </w:pPr>
            <w:r>
              <w:rPr>
                <w:rFonts w:ascii="Arial" w:cs="Arial" w:eastAsia="Arial" w:hAnsi="Arial"/>
                <w:sz w:val="18"/>
                <w:szCs w:val="18"/>
                <w:color w:val="0E32E1"/>
                <w:w w:val="99"/>
              </w:rPr>
              <w:t>6</w:t>
            </w:r>
          </w:p>
        </w:tc>
      </w:tr>
      <w:tr>
        <w:trPr>
          <w:trHeight w:val="20"/>
        </w:trPr>
        <w:tc>
          <w:tcPr>
            <w:tcW w:w="5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1060" w:type="dxa"/>
            <w:vAlign w:val="bottom"/>
            <w:gridSpan w:val="4"/>
          </w:tcPr>
          <w:p>
            <w:pPr>
              <w:spacing w:after="0"/>
              <w:rPr>
                <w:sz w:val="20"/>
                <w:szCs w:val="20"/>
                <w:color w:val="auto"/>
              </w:rPr>
            </w:pPr>
            <w:r>
              <w:rPr>
                <w:rFonts w:ascii="Arial" w:cs="Arial" w:eastAsia="Arial" w:hAnsi="Arial"/>
                <w:sz w:val="18"/>
                <w:szCs w:val="18"/>
                <w:color w:val="0E32E1"/>
              </w:rPr>
              <w:t>Item 2.</w:t>
            </w:r>
          </w:p>
        </w:tc>
        <w:tc>
          <w:tcPr>
            <w:tcW w:w="9460" w:type="dxa"/>
            <w:vAlign w:val="bottom"/>
            <w:gridSpan w:val="16"/>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26</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Borders>
              <w:left w:val="single" w:sz="8" w:color="0E32E1"/>
            </w:tcBorders>
            <w:shd w:val="clear" w:color="auto" w:fill="0E32E1"/>
          </w:tcPr>
          <w:p>
            <w:pPr>
              <w:spacing w:after="0" w:line="20" w:lineRule="exact"/>
              <w:rPr>
                <w:sz w:val="1"/>
                <w:szCs w:val="1"/>
                <w:color w:val="auto"/>
              </w:rPr>
            </w:pPr>
          </w:p>
        </w:tc>
        <w:tc>
          <w:tcPr>
            <w:tcW w:w="2200" w:type="dxa"/>
            <w:vAlign w:val="bottom"/>
            <w:shd w:val="clear" w:color="auto" w:fill="0E32E1"/>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20"/>
        </w:trPr>
        <w:tc>
          <w:tcPr>
            <w:tcW w:w="1060" w:type="dxa"/>
            <w:vAlign w:val="bottom"/>
            <w:gridSpan w:val="4"/>
          </w:tcPr>
          <w:p>
            <w:pPr>
              <w:spacing w:after="0"/>
              <w:rPr>
                <w:sz w:val="20"/>
                <w:szCs w:val="20"/>
                <w:color w:val="auto"/>
              </w:rPr>
            </w:pPr>
            <w:r>
              <w:rPr>
                <w:rFonts w:ascii="Arial" w:cs="Arial" w:eastAsia="Arial" w:hAnsi="Arial"/>
                <w:sz w:val="18"/>
                <w:szCs w:val="18"/>
                <w:color w:val="0E32E1"/>
              </w:rPr>
              <w:t>Item 3.</w:t>
            </w:r>
          </w:p>
        </w:tc>
        <w:tc>
          <w:tcPr>
            <w:tcW w:w="9460" w:type="dxa"/>
            <w:vAlign w:val="bottom"/>
            <w:gridSpan w:val="16"/>
          </w:tcPr>
          <w:p>
            <w:pPr>
              <w:spacing w:after="0"/>
              <w:rPr>
                <w:sz w:val="20"/>
                <w:szCs w:val="20"/>
                <w:color w:val="auto"/>
              </w:rPr>
            </w:pPr>
            <w:r>
              <w:rPr>
                <w:rFonts w:ascii="Arial" w:cs="Arial" w:eastAsia="Arial" w:hAnsi="Arial"/>
                <w:sz w:val="18"/>
                <w:szCs w:val="18"/>
                <w:color w:val="0E32E1"/>
              </w:rPr>
              <w:t>Quantitative and Qualitative Disclosures About Market Risk</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40</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700" w:type="dxa"/>
            <w:vAlign w:val="bottom"/>
            <w:gridSpan w:val="3"/>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20"/>
        </w:trPr>
        <w:tc>
          <w:tcPr>
            <w:tcW w:w="1060" w:type="dxa"/>
            <w:vAlign w:val="bottom"/>
            <w:gridSpan w:val="4"/>
          </w:tcPr>
          <w:p>
            <w:pPr>
              <w:spacing w:after="0"/>
              <w:rPr>
                <w:sz w:val="20"/>
                <w:szCs w:val="20"/>
                <w:color w:val="auto"/>
              </w:rPr>
            </w:pPr>
            <w:r>
              <w:rPr>
                <w:rFonts w:ascii="Arial" w:cs="Arial" w:eastAsia="Arial" w:hAnsi="Arial"/>
                <w:sz w:val="18"/>
                <w:szCs w:val="18"/>
                <w:color w:val="0E32E1"/>
              </w:rPr>
              <w:t>Item 4.</w:t>
            </w:r>
          </w:p>
        </w:tc>
        <w:tc>
          <w:tcPr>
            <w:tcW w:w="9460" w:type="dxa"/>
            <w:vAlign w:val="bottom"/>
            <w:gridSpan w:val="16"/>
          </w:tcPr>
          <w:p>
            <w:pPr>
              <w:spacing w:after="0"/>
              <w:rPr>
                <w:sz w:val="20"/>
                <w:szCs w:val="20"/>
                <w:color w:val="auto"/>
              </w:rPr>
            </w:pPr>
            <w:r>
              <w:rPr>
                <w:rFonts w:ascii="Arial" w:cs="Arial" w:eastAsia="Arial" w:hAnsi="Arial"/>
                <w:sz w:val="18"/>
                <w:szCs w:val="18"/>
                <w:color w:val="0E32E1"/>
              </w:rPr>
              <w:t>Controls and Procedures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40</w:t>
            </w:r>
          </w:p>
        </w:tc>
      </w:tr>
      <w:tr>
        <w:trPr>
          <w:trHeight w:val="20"/>
        </w:trPr>
        <w:tc>
          <w:tcPr>
            <w:tcW w:w="540" w:type="dxa"/>
            <w:vAlign w:val="bottom"/>
            <w:shd w:val="clear" w:color="auto" w:fill="0E32E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80" w:type="dxa"/>
            <w:vAlign w:val="bottom"/>
            <w:gridSpan w:val="2"/>
            <w:shd w:val="clear" w:color="auto" w:fill="0E32E1"/>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r>
        <w:trPr>
          <w:trHeight w:val="314"/>
        </w:trPr>
        <w:tc>
          <w:tcPr>
            <w:tcW w:w="680" w:type="dxa"/>
            <w:vAlign w:val="bottom"/>
            <w:gridSpan w:val="3"/>
          </w:tcPr>
          <w:p>
            <w:pPr>
              <w:spacing w:after="0"/>
              <w:rPr>
                <w:sz w:val="20"/>
                <w:szCs w:val="20"/>
                <w:color w:val="auto"/>
              </w:rPr>
            </w:pPr>
            <w:r>
              <w:rPr>
                <w:rFonts w:ascii="Arial" w:cs="Arial" w:eastAsia="Arial" w:hAnsi="Arial"/>
                <w:sz w:val="18"/>
                <w:szCs w:val="18"/>
                <w:b w:val="1"/>
                <w:bCs w:val="1"/>
                <w:color w:val="0E32E1"/>
                <w:w w:val="95"/>
              </w:rPr>
              <w:t>PART II.</w:t>
            </w:r>
          </w:p>
        </w:tc>
        <w:tc>
          <w:tcPr>
            <w:tcW w:w="380" w:type="dxa"/>
            <w:vAlign w:val="bottom"/>
          </w:tcPr>
          <w:p>
            <w:pPr>
              <w:spacing w:after="0"/>
              <w:rPr>
                <w:sz w:val="24"/>
                <w:szCs w:val="24"/>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Other Information</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680" w:type="dxa"/>
            <w:vAlign w:val="bottom"/>
            <w:gridSpan w:val="3"/>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20"/>
        </w:trPr>
        <w:tc>
          <w:tcPr>
            <w:tcW w:w="680" w:type="dxa"/>
            <w:vAlign w:val="bottom"/>
            <w:gridSpan w:val="3"/>
          </w:tcPr>
          <w:p>
            <w:pPr>
              <w:spacing w:after="0"/>
              <w:rPr>
                <w:sz w:val="20"/>
                <w:szCs w:val="20"/>
                <w:color w:val="auto"/>
              </w:rPr>
            </w:pPr>
            <w:r>
              <w:rPr>
                <w:rFonts w:ascii="Arial" w:cs="Arial" w:eastAsia="Arial" w:hAnsi="Arial"/>
                <w:sz w:val="18"/>
                <w:szCs w:val="18"/>
                <w:color w:val="0E32E1"/>
              </w:rPr>
              <w:t>Item 1.</w:t>
            </w:r>
          </w:p>
        </w:tc>
        <w:tc>
          <w:tcPr>
            <w:tcW w:w="380" w:type="dxa"/>
            <w:vAlign w:val="bottom"/>
          </w:tcPr>
          <w:p>
            <w:pPr>
              <w:spacing w:after="0"/>
              <w:rPr>
                <w:sz w:val="19"/>
                <w:szCs w:val="19"/>
                <w:color w:val="auto"/>
              </w:rPr>
            </w:pPr>
          </w:p>
        </w:tc>
        <w:tc>
          <w:tcPr>
            <w:tcW w:w="9460" w:type="dxa"/>
            <w:vAlign w:val="bottom"/>
            <w:gridSpan w:val="16"/>
          </w:tcPr>
          <w:p>
            <w:pPr>
              <w:spacing w:after="0"/>
              <w:rPr>
                <w:sz w:val="20"/>
                <w:szCs w:val="20"/>
                <w:color w:val="auto"/>
              </w:rPr>
            </w:pPr>
            <w:r>
              <w:rPr>
                <w:rFonts w:ascii="Arial" w:cs="Arial" w:eastAsia="Arial" w:hAnsi="Arial"/>
                <w:sz w:val="18"/>
                <w:szCs w:val="18"/>
                <w:color w:val="0E32E1"/>
              </w:rPr>
              <w:t>Legal Proceedings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41</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860" w:type="dxa"/>
            <w:vAlign w:val="bottom"/>
            <w:gridSpan w:val="3"/>
            <w:shd w:val="clear" w:color="auto" w:fill="0E32E1"/>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4660" w:type="dxa"/>
            <w:vAlign w:val="bottom"/>
            <w:gridSpan w:val="6"/>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20"/>
        </w:trPr>
        <w:tc>
          <w:tcPr>
            <w:tcW w:w="1060" w:type="dxa"/>
            <w:vAlign w:val="bottom"/>
            <w:tcBorders>
              <w:bottom w:val="single" w:sz="8" w:color="0E32E1"/>
            </w:tcBorders>
            <w:gridSpan w:val="4"/>
          </w:tcPr>
          <w:p>
            <w:pPr>
              <w:spacing w:after="0"/>
              <w:rPr>
                <w:sz w:val="20"/>
                <w:szCs w:val="20"/>
                <w:color w:val="auto"/>
              </w:rPr>
            </w:pPr>
            <w:r>
              <w:rPr>
                <w:rFonts w:ascii="Arial" w:cs="Arial" w:eastAsia="Arial" w:hAnsi="Arial"/>
                <w:sz w:val="18"/>
                <w:szCs w:val="18"/>
                <w:color w:val="0E32E1"/>
              </w:rPr>
              <w:t>Item 2.</w:t>
            </w:r>
          </w:p>
        </w:tc>
        <w:tc>
          <w:tcPr>
            <w:tcW w:w="4800" w:type="dxa"/>
            <w:vAlign w:val="bottom"/>
            <w:tcBorders>
              <w:bottom w:val="single" w:sz="8" w:color="0E32E1"/>
            </w:tcBorders>
            <w:gridSpan w:val="10"/>
          </w:tcPr>
          <w:p>
            <w:pPr>
              <w:spacing w:after="0"/>
              <w:rPr>
                <w:sz w:val="20"/>
                <w:szCs w:val="20"/>
                <w:color w:val="auto"/>
              </w:rPr>
            </w:pPr>
            <w:r>
              <w:rPr>
                <w:rFonts w:ascii="Arial" w:cs="Arial" w:eastAsia="Arial" w:hAnsi="Arial"/>
                <w:sz w:val="18"/>
                <w:szCs w:val="18"/>
                <w:color w:val="0E32E1"/>
                <w:w w:val="98"/>
              </w:rPr>
              <w:t>Unregistered Sales of Equity Securities and Use of Proceeds</w:t>
            </w:r>
          </w:p>
        </w:tc>
        <w:tc>
          <w:tcPr>
            <w:tcW w:w="4660" w:type="dxa"/>
            <w:vAlign w:val="bottom"/>
            <w:gridSpan w:val="6"/>
          </w:tcPr>
          <w:p>
            <w:pPr>
              <w:spacing w:after="0"/>
              <w:rPr>
                <w:sz w:val="19"/>
                <w:szCs w:val="19"/>
                <w:color w:val="auto"/>
              </w:rPr>
            </w:pP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41</w:t>
            </w:r>
          </w:p>
        </w:tc>
      </w:tr>
      <w:tr>
        <w:trPr>
          <w:trHeight w:val="220"/>
        </w:trPr>
        <w:tc>
          <w:tcPr>
            <w:tcW w:w="1060" w:type="dxa"/>
            <w:vAlign w:val="bottom"/>
            <w:gridSpan w:val="4"/>
          </w:tcPr>
          <w:p>
            <w:pPr>
              <w:spacing w:after="0"/>
              <w:rPr>
                <w:sz w:val="20"/>
                <w:szCs w:val="20"/>
                <w:color w:val="auto"/>
              </w:rPr>
            </w:pPr>
            <w:r>
              <w:rPr>
                <w:rFonts w:ascii="Arial" w:cs="Arial" w:eastAsia="Arial" w:hAnsi="Arial"/>
                <w:sz w:val="18"/>
                <w:szCs w:val="18"/>
                <w:color w:val="0E32E1"/>
              </w:rPr>
              <w:t>Item 5.</w:t>
            </w:r>
          </w:p>
        </w:tc>
        <w:tc>
          <w:tcPr>
            <w:tcW w:w="9460" w:type="dxa"/>
            <w:vAlign w:val="bottom"/>
            <w:gridSpan w:val="16"/>
          </w:tcPr>
          <w:p>
            <w:pPr>
              <w:spacing w:after="0"/>
              <w:rPr>
                <w:sz w:val="20"/>
                <w:szCs w:val="20"/>
                <w:color w:val="auto"/>
              </w:rPr>
            </w:pPr>
            <w:r>
              <w:rPr>
                <w:rFonts w:ascii="Arial" w:cs="Arial" w:eastAsia="Arial" w:hAnsi="Arial"/>
                <w:sz w:val="18"/>
                <w:szCs w:val="18"/>
                <w:color w:val="0E32E1"/>
              </w:rPr>
              <w:t>Other Information</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41</w:t>
            </w:r>
          </w:p>
        </w:tc>
      </w:tr>
      <w:tr>
        <w:trPr>
          <w:trHeight w:val="20"/>
        </w:trPr>
        <w:tc>
          <w:tcPr>
            <w:tcW w:w="540" w:type="dxa"/>
            <w:vAlign w:val="bottom"/>
            <w:shd w:val="clear" w:color="auto" w:fill="0E32E1"/>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760" w:type="dxa"/>
            <w:vAlign w:val="bottom"/>
            <w:gridSpan w:val="2"/>
            <w:shd w:val="clear" w:color="auto" w:fill="0E32E1"/>
          </w:tcPr>
          <w:p>
            <w:pPr>
              <w:spacing w:after="0" w:line="20" w:lineRule="exact"/>
              <w:rPr>
                <w:sz w:val="1"/>
                <w:szCs w:val="1"/>
                <w:color w:val="auto"/>
              </w:rPr>
            </w:pPr>
          </w:p>
        </w:tc>
        <w:tc>
          <w:tcPr>
            <w:tcW w:w="8080" w:type="dxa"/>
            <w:vAlign w:val="bottom"/>
            <w:gridSpan w:val="13"/>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r>
      <w:tr>
        <w:trPr>
          <w:trHeight w:val="220"/>
        </w:trPr>
        <w:tc>
          <w:tcPr>
            <w:tcW w:w="1060" w:type="dxa"/>
            <w:vAlign w:val="bottom"/>
            <w:gridSpan w:val="4"/>
          </w:tcPr>
          <w:p>
            <w:pPr>
              <w:spacing w:after="0"/>
              <w:rPr>
                <w:sz w:val="20"/>
                <w:szCs w:val="20"/>
                <w:color w:val="auto"/>
              </w:rPr>
            </w:pPr>
            <w:r>
              <w:rPr>
                <w:rFonts w:ascii="Arial" w:cs="Arial" w:eastAsia="Arial" w:hAnsi="Arial"/>
                <w:sz w:val="18"/>
                <w:szCs w:val="18"/>
                <w:color w:val="0E32E1"/>
              </w:rPr>
              <w:t>Item 6.</w:t>
            </w:r>
          </w:p>
        </w:tc>
        <w:tc>
          <w:tcPr>
            <w:tcW w:w="9460" w:type="dxa"/>
            <w:vAlign w:val="bottom"/>
            <w:gridSpan w:val="16"/>
          </w:tcPr>
          <w:p>
            <w:pPr>
              <w:spacing w:after="0"/>
              <w:rPr>
                <w:sz w:val="20"/>
                <w:szCs w:val="20"/>
                <w:color w:val="auto"/>
              </w:rPr>
            </w:pPr>
            <w:r>
              <w:rPr>
                <w:rFonts w:ascii="Arial" w:cs="Arial" w:eastAsia="Arial" w:hAnsi="Arial"/>
                <w:sz w:val="18"/>
                <w:szCs w:val="18"/>
                <w:color w:val="0E32E1"/>
              </w:rPr>
              <w:t>Exhibits</w:t>
            </w:r>
          </w:p>
        </w:tc>
        <w:tc>
          <w:tcPr>
            <w:tcW w:w="380" w:type="dxa"/>
            <w:vAlign w:val="bottom"/>
            <w:gridSpan w:val="3"/>
          </w:tcPr>
          <w:p>
            <w:pPr>
              <w:jc w:val="center"/>
              <w:ind w:left="91"/>
              <w:spacing w:after="0"/>
              <w:rPr>
                <w:sz w:val="20"/>
                <w:szCs w:val="20"/>
                <w:color w:val="auto"/>
              </w:rPr>
            </w:pPr>
            <w:r>
              <w:rPr>
                <w:rFonts w:ascii="Arial" w:cs="Arial" w:eastAsia="Arial" w:hAnsi="Arial"/>
                <w:sz w:val="18"/>
                <w:szCs w:val="18"/>
                <w:color w:val="0E32E1"/>
                <w:w w:val="99"/>
              </w:rPr>
              <w:t>42</w:t>
            </w:r>
          </w:p>
        </w:tc>
      </w:tr>
      <w:tr>
        <w:trPr>
          <w:trHeight w:val="20"/>
        </w:trPr>
        <w:tc>
          <w:tcPr>
            <w:tcW w:w="54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0E32E1"/>
            </w:tcBorders>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E32E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621665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320" w:top="1098" w:right="6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2026</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2025</w:t>
            </w:r>
          </w:p>
        </w:tc>
      </w:tr>
      <w:tr>
        <w:trPr>
          <w:trHeight w:val="220"/>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r>
      <w:tr>
        <w:trPr>
          <w:trHeight w:val="197"/>
        </w:trPr>
        <w:tc>
          <w:tcPr>
            <w:tcW w:w="6720" w:type="dxa"/>
            <w:vAlign w:val="bottom"/>
          </w:tcPr>
          <w:p>
            <w:pPr>
              <w:ind w:left="140"/>
              <w:spacing w:after="0" w:line="196" w:lineRule="exact"/>
              <w:rPr>
                <w:sz w:val="20"/>
                <w:szCs w:val="20"/>
                <w:color w:val="auto"/>
              </w:rPr>
            </w:pPr>
            <w:r>
              <w:rPr>
                <w:rFonts w:ascii="Arial" w:cs="Arial" w:eastAsia="Arial" w:hAnsi="Arial"/>
                <w:sz w:val="18"/>
                <w:szCs w:val="18"/>
                <w:color w:val="auto"/>
              </w:rPr>
              <w:t>Accounts receivable, net of allowance for credit losses of $49.5 million and $15.6</w:t>
            </w: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million as of September 30, 2026 and December 31, 2025, respectively</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3,125.2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2,208.5</w:t>
            </w: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r>
      <w:tr>
        <w:trPr>
          <w:trHeight w:val="240"/>
        </w:trPr>
        <w:tc>
          <w:tcPr>
            <w:tcW w:w="672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assets, net</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4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r>
      <w:tr>
        <w:trPr>
          <w:trHeight w:val="234"/>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3,500.5</w:t>
            </w: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346.2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348.4</w:t>
            </w: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Identifiable intangible assets, net</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311.7</w:t>
            </w: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965.9</w:t>
            </w:r>
          </w:p>
        </w:tc>
      </w:tr>
      <w:tr>
        <w:trPr>
          <w:trHeight w:val="234"/>
        </w:trPr>
        <w:tc>
          <w:tcPr>
            <w:tcW w:w="67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7,038.9</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0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40"/>
        </w:trPr>
        <w:tc>
          <w:tcPr>
            <w:tcW w:w="672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0"/>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3,727.5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2,586.9</w:t>
            </w: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derivative liabilities, net</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4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658.9</w:t>
            </w:r>
          </w:p>
        </w:tc>
      </w:tr>
      <w:tr>
        <w:trPr>
          <w:trHeight w:val="234"/>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3,310.4</w:t>
            </w: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685.2</w:t>
            </w: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560.4</w:t>
            </w:r>
          </w:p>
        </w:tc>
      </w:tr>
      <w:tr>
        <w:trPr>
          <w:trHeight w:val="234"/>
        </w:trPr>
        <w:tc>
          <w:tcPr>
            <w:tcW w:w="6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4,556.1</w:t>
            </w:r>
          </w:p>
        </w:tc>
      </w:tr>
      <w:tr>
        <w:trPr>
          <w:trHeight w:val="22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 Kinect shareholders' equity:</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40"/>
        </w:trPr>
        <w:tc>
          <w:tcPr>
            <w:tcW w:w="6720" w:type="dxa"/>
            <w:vAlign w:val="bottom"/>
          </w:tcPr>
          <w:p>
            <w:pPr>
              <w:ind w:left="140"/>
              <w:spacing w:after="0"/>
              <w:rPr>
                <w:sz w:val="20"/>
                <w:szCs w:val="20"/>
                <w:color w:val="auto"/>
              </w:rPr>
            </w:pPr>
            <w:r>
              <w:rPr>
                <w:rFonts w:ascii="Arial" w:cs="Arial" w:eastAsia="Arial" w:hAnsi="Arial"/>
                <w:sz w:val="18"/>
                <w:szCs w:val="18"/>
                <w:color w:val="auto"/>
              </w:rPr>
              <w:t>Preferred stock, $1.00 par value; 0.1 shares authorized, none issued</w:t>
            </w:r>
          </w:p>
        </w:tc>
        <w:tc>
          <w:tcPr>
            <w:tcW w:w="180" w:type="dxa"/>
            <w:vAlign w:val="bottom"/>
          </w:tcPr>
          <w:p>
            <w:pPr>
              <w:spacing w:after="0"/>
              <w:rPr>
                <w:sz w:val="20"/>
                <w:szCs w:val="20"/>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7"/>
        </w:trPr>
        <w:tc>
          <w:tcPr>
            <w:tcW w:w="672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Common stock, $0.01 par value; 100.0 shares authorized, 51.2 and 54.1 issued</w:t>
            </w:r>
          </w:p>
        </w:tc>
        <w:tc>
          <w:tcPr>
            <w:tcW w:w="1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outstanding as of September 30, 2026 and December 31, 2025, respectively</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0"/>
        </w:trPr>
        <w:tc>
          <w:tcPr>
            <w:tcW w:w="6720" w:type="dxa"/>
            <w:vAlign w:val="bottom"/>
          </w:tcPr>
          <w:p>
            <w:pPr>
              <w:ind w:left="140"/>
              <w:spacing w:after="0"/>
              <w:rPr>
                <w:sz w:val="20"/>
                <w:szCs w:val="20"/>
                <w:color w:val="auto"/>
              </w:rPr>
            </w:pPr>
            <w:r>
              <w:rPr>
                <w:rFonts w:ascii="Arial" w:cs="Arial" w:eastAsia="Arial" w:hAnsi="Arial"/>
                <w:sz w:val="18"/>
                <w:szCs w:val="18"/>
                <w:color w:val="auto"/>
              </w:rPr>
              <w:t>Capital in excess of par value</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40"/>
        </w:trPr>
        <w:tc>
          <w:tcPr>
            <w:tcW w:w="6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34"/>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World Kinect shareholders' equity</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r>
      <w:tr>
        <w:trPr>
          <w:trHeight w:val="240"/>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34"/>
        </w:trPr>
        <w:tc>
          <w:tcPr>
            <w:tcW w:w="6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1,288.4</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1,307.9</w:t>
            </w:r>
          </w:p>
        </w:tc>
      </w:tr>
      <w:tr>
        <w:trPr>
          <w:trHeight w:val="234"/>
        </w:trPr>
        <w:tc>
          <w:tcPr>
            <w:tcW w:w="672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7,038.9</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5,863.9</w:t>
            </w: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INCOME AND</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COMPREHENSIVE INCOME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 except per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72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9"/>
              </w:rPr>
              <w:t>For the Three Months Ended</w:t>
            </w:r>
          </w:p>
        </w:tc>
        <w:tc>
          <w:tcPr>
            <w:tcW w:w="120" w:type="dxa"/>
            <w:vAlign w:val="bottom"/>
          </w:tcPr>
          <w:p>
            <w:pPr>
              <w:spacing w:after="0"/>
              <w:rPr>
                <w:sz w:val="17"/>
                <w:szCs w:val="17"/>
                <w:color w:val="auto"/>
              </w:rPr>
            </w:pPr>
          </w:p>
        </w:tc>
        <w:tc>
          <w:tcPr>
            <w:tcW w:w="2460" w:type="dxa"/>
            <w:vAlign w:val="bottom"/>
            <w:gridSpan w:val="4"/>
          </w:tcPr>
          <w:p>
            <w:pPr>
              <w:jc w:val="right"/>
              <w:ind w:right="51"/>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40"/>
        </w:trPr>
        <w:tc>
          <w:tcPr>
            <w:tcW w:w="5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September 30,</w:t>
            </w:r>
          </w:p>
        </w:tc>
        <w:tc>
          <w:tcPr>
            <w:tcW w:w="120" w:type="dxa"/>
            <w:vAlign w:val="bottom"/>
          </w:tcPr>
          <w:p>
            <w:pPr>
              <w:spacing w:after="0"/>
              <w:rPr>
                <w:sz w:val="20"/>
                <w:szCs w:val="20"/>
                <w:color w:val="auto"/>
              </w:rPr>
            </w:pPr>
          </w:p>
        </w:tc>
        <w:tc>
          <w:tcPr>
            <w:tcW w:w="246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13,270.7</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27,887.6</w:t>
            </w: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35,622.5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27,175.2</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20"/>
        </w:trPr>
        <w:tc>
          <w:tcPr>
            <w:tcW w:w="59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and exit costs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4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34"/>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4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94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20"/>
        </w:trPr>
        <w:tc>
          <w:tcPr>
            <w:tcW w:w="59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87"/>
        </w:trPr>
        <w:tc>
          <w:tcPr>
            <w:tcW w:w="5940" w:type="dxa"/>
            <w:vAlign w:val="bottom"/>
          </w:tcPr>
          <w:p>
            <w:pPr>
              <w:ind w:left="140"/>
              <w:spacing w:after="0" w:line="187" w:lineRule="exact"/>
              <w:rPr>
                <w:sz w:val="20"/>
                <w:szCs w:val="20"/>
                <w:color w:val="auto"/>
              </w:rPr>
            </w:pPr>
            <w:r>
              <w:rPr>
                <w:rFonts w:ascii="Arial" w:cs="Arial" w:eastAsia="Arial" w:hAnsi="Arial"/>
                <w:sz w:val="18"/>
                <w:szCs w:val="18"/>
                <w:color w:val="auto"/>
              </w:rPr>
              <w:t>Cash flow hedges, net of income tax expense (benefit) of ($4.6) and</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940" w:type="dxa"/>
            <w:vAlign w:val="bottom"/>
          </w:tcPr>
          <w:p>
            <w:pPr>
              <w:ind w:left="140"/>
              <w:spacing w:after="0" w:line="174" w:lineRule="exact"/>
              <w:rPr>
                <w:sz w:val="20"/>
                <w:szCs w:val="20"/>
                <w:color w:val="auto"/>
              </w:rPr>
            </w:pPr>
            <w:r>
              <w:rPr>
                <w:rFonts w:ascii="Arial" w:cs="Arial" w:eastAsia="Arial" w:hAnsi="Arial"/>
                <w:sz w:val="18"/>
                <w:szCs w:val="18"/>
                <w:color w:val="auto"/>
              </w:rPr>
              <w:t>($0.1) for the three months ended September 30, 2026 and 2025,</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40" w:type="dxa"/>
            <w:vAlign w:val="bottom"/>
          </w:tcPr>
          <w:p>
            <w:pPr>
              <w:ind w:left="140"/>
              <w:spacing w:after="0" w:line="183" w:lineRule="exact"/>
              <w:rPr>
                <w:sz w:val="20"/>
                <w:szCs w:val="20"/>
                <w:color w:val="auto"/>
              </w:rPr>
            </w:pPr>
            <w:r>
              <w:rPr>
                <w:rFonts w:ascii="Arial" w:cs="Arial" w:eastAsia="Arial" w:hAnsi="Arial"/>
                <w:sz w:val="18"/>
                <w:szCs w:val="18"/>
                <w:color w:val="auto"/>
              </w:rPr>
              <w:t>respectively, and net of income tax expense (benefit) of $(9.7) and</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940" w:type="dxa"/>
            <w:vAlign w:val="bottom"/>
          </w:tcPr>
          <w:p>
            <w:pPr>
              <w:ind w:left="140"/>
              <w:spacing w:after="0" w:line="177" w:lineRule="exact"/>
              <w:rPr>
                <w:sz w:val="20"/>
                <w:szCs w:val="20"/>
                <w:color w:val="auto"/>
              </w:rPr>
            </w:pPr>
            <w:r>
              <w:rPr>
                <w:rFonts w:ascii="Arial" w:cs="Arial" w:eastAsia="Arial" w:hAnsi="Arial"/>
                <w:sz w:val="18"/>
                <w:szCs w:val="18"/>
                <w:color w:val="auto"/>
              </w:rPr>
              <w:t>$(0.6) for the nine months ended September 30, 2026 and 2025,</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 (loss) including noncontrolling interest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4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noncontrolling interest</w:t>
            </w: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4"/>
        </w:trPr>
        <w:tc>
          <w:tcPr>
            <w:tcW w:w="59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World Kinect</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CONDENSED CONSOLIDATED STATEMENTS OF SHAREHOLDERS' EQUITY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(Unaudited - In millions)</w:t>
      </w:r>
    </w:p>
    <w:p>
      <w:pPr>
        <w:spacing w:after="0" w:line="77" w:lineRule="exact"/>
        <w:rPr>
          <w:sz w:val="20"/>
          <w:szCs w:val="20"/>
          <w:color w:val="auto"/>
        </w:rPr>
      </w:pPr>
    </w:p>
    <w:tbl>
      <w:tblPr>
        <w:tblLayout w:type="fixed"/>
        <w:tblInd w:w="248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58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 in</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World Kinect</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Noncontrolling</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gridSpan w:val="2"/>
            <w:vMerge w:val="restart"/>
          </w:tcPr>
          <w:p>
            <w:pPr>
              <w:ind w:left="120"/>
              <w:spacing w:after="0" w:line="129" w:lineRule="exact"/>
              <w:rPr>
                <w:sz w:val="20"/>
                <w:szCs w:val="20"/>
                <w:color w:val="auto"/>
              </w:rPr>
            </w:pPr>
            <w:r>
              <w:rPr>
                <w:rFonts w:ascii="Arial" w:cs="Arial" w:eastAsia="Arial" w:hAnsi="Arial"/>
                <w:sz w:val="14"/>
                <w:szCs w:val="14"/>
                <w:b w:val="1"/>
                <w:bCs w:val="1"/>
                <w:color w:val="auto"/>
              </w:rPr>
              <w:t>Excess of</w:t>
            </w:r>
          </w:p>
        </w:tc>
        <w:tc>
          <w:tcPr>
            <w:tcW w:w="980" w:type="dxa"/>
            <w:vAlign w:val="bottom"/>
            <w:gridSpan w:val="2"/>
            <w:vMerge w:val="restart"/>
          </w:tcPr>
          <w:p>
            <w:pPr>
              <w:ind w:left="140"/>
              <w:spacing w:after="0" w:line="129" w:lineRule="exact"/>
              <w:rPr>
                <w:sz w:val="20"/>
                <w:szCs w:val="20"/>
                <w:color w:val="auto"/>
              </w:rPr>
            </w:pPr>
            <w:r>
              <w:rPr>
                <w:rFonts w:ascii="Arial" w:cs="Arial" w:eastAsia="Arial" w:hAnsi="Arial"/>
                <w:sz w:val="14"/>
                <w:szCs w:val="14"/>
                <w:b w:val="1"/>
                <w:bCs w:val="1"/>
                <w:color w:val="auto"/>
              </w:rPr>
              <w:t>Retained</w:t>
            </w:r>
          </w:p>
        </w:tc>
        <w:tc>
          <w:tcPr>
            <w:tcW w:w="152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rPr>
              <w:t>Comprehensive</w:t>
            </w:r>
          </w:p>
        </w:tc>
        <w:tc>
          <w:tcPr>
            <w:tcW w:w="1340" w:type="dxa"/>
            <w:vAlign w:val="bottom"/>
            <w:gridSpan w:val="2"/>
            <w:vMerge w:val="restart"/>
          </w:tcPr>
          <w:p>
            <w:pPr>
              <w:jc w:val="center"/>
              <w:ind w:right="100"/>
              <w:spacing w:after="0" w:line="129" w:lineRule="exact"/>
              <w:rPr>
                <w:sz w:val="20"/>
                <w:szCs w:val="20"/>
                <w:color w:val="auto"/>
              </w:rPr>
            </w:pPr>
            <w:r>
              <w:rPr>
                <w:rFonts w:ascii="Arial" w:cs="Arial" w:eastAsia="Arial" w:hAnsi="Arial"/>
                <w:sz w:val="14"/>
                <w:szCs w:val="14"/>
                <w:b w:val="1"/>
                <w:bCs w:val="1"/>
                <w:color w:val="auto"/>
              </w:rPr>
              <w:t>Shareholders'</w:t>
            </w:r>
          </w:p>
        </w:tc>
        <w:tc>
          <w:tcPr>
            <w:tcW w:w="1380" w:type="dxa"/>
            <w:vAlign w:val="bottom"/>
            <w:gridSpan w:val="2"/>
            <w:vMerge w:val="restart"/>
          </w:tcPr>
          <w:p>
            <w:pPr>
              <w:jc w:val="center"/>
              <w:ind w:right="140"/>
              <w:spacing w:after="0" w:line="129" w:lineRule="exact"/>
              <w:rPr>
                <w:sz w:val="20"/>
                <w:szCs w:val="20"/>
                <w:color w:val="auto"/>
              </w:rPr>
            </w:pPr>
            <w:r>
              <w:rPr>
                <w:rFonts w:ascii="Arial" w:cs="Arial" w:eastAsia="Arial" w:hAnsi="Arial"/>
                <w:sz w:val="14"/>
                <w:szCs w:val="14"/>
                <w:b w:val="1"/>
                <w:bCs w:val="1"/>
                <w:color w:val="auto"/>
              </w:rPr>
              <w:t>Interest</w:t>
            </w:r>
          </w:p>
        </w:tc>
        <w:tc>
          <w:tcPr>
            <w:tcW w:w="86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7"/>
        </w:trPr>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4225" cy="144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460" w:type="dxa"/>
            <w:vAlign w:val="bottom"/>
          </w:tcPr>
          <w:p>
            <w:pPr>
              <w:spacing w:after="0"/>
              <w:rPr>
                <w:sz w:val="20"/>
                <w:szCs w:val="20"/>
                <w:color w:val="auto"/>
              </w:rPr>
            </w:pPr>
            <w:r>
              <w:rPr>
                <w:rFonts w:ascii="Arial" w:cs="Arial" w:eastAsia="Arial" w:hAnsi="Arial"/>
                <w:sz w:val="14"/>
                <w:szCs w:val="14"/>
                <w:color w:val="auto"/>
              </w:rPr>
              <w:t>Balance as of December 31, 2025</w:t>
            </w:r>
          </w:p>
        </w:tc>
        <w:tc>
          <w:tcPr>
            <w:tcW w:w="680" w:type="dxa"/>
            <w:vAlign w:val="bottom"/>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Arial" w:cs="Arial" w:eastAsia="Arial" w:hAnsi="Arial"/>
                <w:sz w:val="14"/>
                <w:szCs w:val="14"/>
                <w:color w:val="auto"/>
              </w:rPr>
              <w:t>Issuance (cancellation) of common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60" w:type="dxa"/>
            <w:vAlign w:val="bottom"/>
          </w:tcPr>
          <w:p>
            <w:pPr>
              <w:ind w:left="2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60" w:type="dxa"/>
            <w:vAlign w:val="bottom"/>
          </w:tcPr>
          <w:p>
            <w:pPr>
              <w:ind w:left="20"/>
              <w:spacing w:after="0" w:line="147"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withholding taxes related to share-</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based payment awards</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6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4"/>
                <w:szCs w:val="14"/>
                <w:color w:val="auto"/>
              </w:rPr>
              <w:t>Balance as of March 31, 2026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7.2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Arial" w:cs="Arial" w:eastAsia="Arial" w:hAnsi="Arial"/>
                <w:sz w:val="14"/>
                <w:szCs w:val="14"/>
                <w:color w:val="auto"/>
              </w:rPr>
              <w:t>Issuance (cancellation) of common</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60" w:type="dxa"/>
            <w:vAlign w:val="bottom"/>
          </w:tcPr>
          <w:p>
            <w:pPr>
              <w:ind w:left="20"/>
              <w:spacing w:after="0" w:line="147"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awards</w:t>
            </w: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60" w:type="dxa"/>
            <w:vAlign w:val="bottom"/>
          </w:tcPr>
          <w:p>
            <w:pPr>
              <w:ind w:left="20"/>
              <w:spacing w:after="0" w:line="158" w:lineRule="exact"/>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60" w:type="dxa"/>
            <w:vAlign w:val="bottom"/>
          </w:tcPr>
          <w:p>
            <w:pPr>
              <w:ind w:left="20"/>
              <w:spacing w:after="0" w:line="147"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60" w:type="dxa"/>
            <w:vAlign w:val="bottom"/>
          </w:tcPr>
          <w:p>
            <w:pPr>
              <w:ind w:left="20"/>
              <w:spacing w:after="0" w:line="143" w:lineRule="exact"/>
              <w:rPr>
                <w:sz w:val="20"/>
                <w:szCs w:val="20"/>
                <w:color w:val="auto"/>
              </w:rPr>
            </w:pPr>
            <w:r>
              <w:rPr>
                <w:rFonts w:ascii="Arial" w:cs="Arial" w:eastAsia="Arial" w:hAnsi="Arial"/>
                <w:sz w:val="14"/>
                <w:szCs w:val="14"/>
                <w:color w:val="auto"/>
              </w:rPr>
              <w:t>withholding taxes related to share-</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based payment awards</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60" w:type="dxa"/>
            <w:vAlign w:val="bottom"/>
          </w:tcPr>
          <w:p>
            <w:pPr>
              <w:ind w:left="20"/>
              <w:spacing w:after="0"/>
              <w:rPr>
                <w:sz w:val="20"/>
                <w:szCs w:val="20"/>
                <w:color w:val="auto"/>
              </w:rPr>
            </w:pPr>
            <w:r>
              <w:rPr>
                <w:rFonts w:ascii="Arial" w:cs="Arial" w:eastAsia="Arial" w:hAnsi="Arial"/>
                <w:sz w:val="14"/>
                <w:szCs w:val="14"/>
                <w:color w:val="auto"/>
              </w:rPr>
              <w:t>Purchases of common stock</w:t>
            </w: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60" w:type="dxa"/>
            <w:vAlign w:val="bottom"/>
          </w:tcPr>
          <w:p>
            <w:pPr>
              <w:spacing w:after="0"/>
              <w:rPr>
                <w:sz w:val="20"/>
                <w:szCs w:val="20"/>
                <w:color w:val="auto"/>
              </w:rPr>
            </w:pPr>
            <w:r>
              <w:rPr>
                <w:rFonts w:ascii="Arial" w:cs="Arial" w:eastAsia="Arial" w:hAnsi="Arial"/>
                <w:sz w:val="14"/>
                <w:szCs w:val="14"/>
                <w:color w:val="auto"/>
              </w:rPr>
              <w:t>Balance as of June 30, 2026</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460" w:type="dxa"/>
            <w:vAlign w:val="bottom"/>
          </w:tcPr>
          <w:p>
            <w:pPr>
              <w:ind w:left="20"/>
              <w:spacing w:after="0"/>
              <w:rPr>
                <w:sz w:val="20"/>
                <w:szCs w:val="20"/>
                <w:color w:val="auto"/>
              </w:rPr>
            </w:pPr>
            <w:r>
              <w:rPr>
                <w:rFonts w:ascii="Arial" w:cs="Arial" w:eastAsia="Arial" w:hAnsi="Arial"/>
                <w:sz w:val="14"/>
                <w:szCs w:val="14"/>
                <w:color w:val="auto"/>
              </w:rPr>
              <w:t>Amortization of share-based payment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560" w:type="dxa"/>
            <w:vAlign w:val="bottom"/>
            <w:vMerge w:val="restart"/>
          </w:tcPr>
          <w:p>
            <w:pPr>
              <w:jc w:val="right"/>
              <w:ind w:right="9"/>
              <w:spacing w:after="0"/>
              <w:rPr>
                <w:sz w:val="20"/>
                <w:szCs w:val="20"/>
                <w:color w:val="auto"/>
              </w:rPr>
            </w:pPr>
            <w:r>
              <w:rPr>
                <w:rFonts w:ascii="Arial" w:cs="Arial" w:eastAsia="Arial" w:hAnsi="Arial"/>
                <w:sz w:val="14"/>
                <w:szCs w:val="14"/>
                <w:color w:val="auto"/>
              </w:rPr>
              <w:t>9.8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color w:val="auto"/>
              </w:rPr>
              <w:t>awards</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460" w:type="dxa"/>
            <w:vAlign w:val="bottom"/>
          </w:tcPr>
          <w:p>
            <w:pPr>
              <w:spacing w:after="0"/>
              <w:rPr>
                <w:sz w:val="20"/>
                <w:szCs w:val="20"/>
                <w:color w:val="auto"/>
              </w:rPr>
            </w:pPr>
            <w:r>
              <w:rPr>
                <w:rFonts w:ascii="Arial" w:cs="Arial" w:eastAsia="Arial" w:hAnsi="Arial"/>
                <w:sz w:val="14"/>
                <w:szCs w:val="14"/>
                <w:color w:val="auto"/>
              </w:rPr>
              <w:t>Balance as of September 30, 2026</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40" w:type="dxa"/>
            <w:vAlign w:val="bottom"/>
          </w:tcPr>
          <w:p>
            <w:pPr>
              <w:jc w:val="right"/>
              <w:ind w:right="89"/>
              <w:spacing w:after="0"/>
              <w:rPr>
                <w:sz w:val="20"/>
                <w:szCs w:val="20"/>
                <w:color w:val="auto"/>
              </w:rPr>
            </w:pPr>
            <w:r>
              <w:rPr>
                <w:rFonts w:ascii="Arial" w:cs="Arial" w:eastAsia="Arial" w:hAnsi="Arial"/>
                <w:sz w:val="14"/>
                <w:szCs w:val="14"/>
                <w:color w:val="auto"/>
                <w:w w:val="98"/>
              </w:rPr>
              <w:t>1,315.9</w:t>
            </w: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1,299.1</w:t>
            </w:r>
          </w:p>
        </w:tc>
        <w:tc>
          <w:tcPr>
            <w:tcW w:w="100" w:type="dxa"/>
            <w:vAlign w:val="bottom"/>
          </w:tcPr>
          <w:p>
            <w:pPr>
              <w:spacing w:after="0"/>
              <w:rPr>
                <w:sz w:val="16"/>
                <w:szCs w:val="16"/>
                <w:color w:val="auto"/>
              </w:rPr>
            </w:pPr>
          </w:p>
        </w:tc>
        <w:tc>
          <w:tcPr>
            <w:tcW w:w="520" w:type="dxa"/>
            <w:vAlign w:val="bottom"/>
          </w:tcPr>
          <w:p>
            <w:pPr>
              <w:jc w:val="right"/>
              <w:ind w:right="34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1,307.9</w:t>
            </w:r>
          </w:p>
        </w:tc>
      </w:tr>
      <w:tr>
        <w:trPr>
          <w:trHeight w:val="213"/>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26.2</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25.6</w:t>
            </w:r>
          </w:p>
        </w:tc>
      </w:tr>
      <w:tr>
        <w:trPr>
          <w:trHeight w:val="213"/>
        </w:trPr>
        <w:tc>
          <w:tcPr>
            <w:tcW w:w="640" w:type="dxa"/>
            <w:vAlign w:val="bottom"/>
          </w:tcPr>
          <w:p>
            <w:pPr>
              <w:jc w:val="right"/>
              <w:ind w:right="49"/>
              <w:spacing w:after="0"/>
              <w:rPr>
                <w:sz w:val="20"/>
                <w:szCs w:val="20"/>
                <w:color w:val="auto"/>
              </w:rPr>
            </w:pPr>
            <w:r>
              <w:rPr>
                <w:rFonts w:ascii="Arial" w:cs="Arial" w:eastAsia="Arial" w:hAnsi="Arial"/>
                <w:sz w:val="14"/>
                <w:szCs w:val="14"/>
                <w:color w:val="auto"/>
              </w:rPr>
              <w:t>(10.2)</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34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494"/>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40"/>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13"/>
        </w:trPr>
        <w:tc>
          <w:tcPr>
            <w:tcW w:w="640" w:type="dxa"/>
            <w:vAlign w:val="bottom"/>
          </w:tcPr>
          <w:p>
            <w:pPr>
              <w:jc w:val="right"/>
              <w:ind w:right="49"/>
              <w:spacing w:after="0"/>
              <w:rPr>
                <w:sz w:val="20"/>
                <w:szCs w:val="20"/>
                <w:color w:val="auto"/>
              </w:rPr>
            </w:pPr>
            <w:r>
              <w:rPr>
                <w:rFonts w:ascii="Arial" w:cs="Arial" w:eastAsia="Arial" w:hAnsi="Arial"/>
                <w:sz w:val="14"/>
                <w:szCs w:val="14"/>
                <w:color w:val="auto"/>
              </w:rPr>
              <w:t>(69.2)</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(75.7)</w:t>
            </w:r>
          </w:p>
        </w:tc>
      </w:tr>
      <w:tr>
        <w:trPr>
          <w:trHeight w:val="21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(42.2)</w:t>
            </w:r>
          </w:p>
        </w:tc>
      </w:tr>
      <w:tr>
        <w:trPr>
          <w:trHeight w:val="203"/>
        </w:trPr>
        <w:tc>
          <w:tcPr>
            <w:tcW w:w="640" w:type="dxa"/>
            <w:vAlign w:val="bottom"/>
          </w:tcPr>
          <w:p>
            <w:pPr>
              <w:jc w:val="right"/>
              <w:ind w:right="89"/>
              <w:spacing w:after="0"/>
              <w:rPr>
                <w:sz w:val="20"/>
                <w:szCs w:val="20"/>
                <w:color w:val="auto"/>
              </w:rPr>
            </w:pPr>
            <w:r>
              <w:rPr>
                <w:rFonts w:ascii="Arial" w:cs="Arial" w:eastAsia="Arial" w:hAnsi="Arial"/>
                <w:sz w:val="14"/>
                <w:szCs w:val="14"/>
                <w:color w:val="auto"/>
                <w:w w:val="98"/>
              </w:rPr>
              <w:t>1,262.7</w:t>
            </w: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1,203.7</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1,211.8</w:t>
            </w:r>
          </w:p>
        </w:tc>
      </w:tr>
      <w:tr>
        <w:trPr>
          <w:trHeight w:val="213"/>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48.4</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13"/>
        </w:trPr>
        <w:tc>
          <w:tcPr>
            <w:tcW w:w="64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34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494"/>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640"/>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3"/>
        </w:trPr>
        <w:tc>
          <w:tcPr>
            <w:tcW w:w="640" w:type="dxa"/>
            <w:vAlign w:val="bottom"/>
          </w:tcPr>
          <w:p>
            <w:pPr>
              <w:jc w:val="right"/>
              <w:ind w:right="49"/>
              <w:spacing w:after="0"/>
              <w:rPr>
                <w:sz w:val="20"/>
                <w:szCs w:val="20"/>
                <w:color w:val="auto"/>
              </w:rPr>
            </w:pPr>
            <w:r>
              <w:rPr>
                <w:rFonts w:ascii="Arial" w:cs="Arial" w:eastAsia="Arial" w:hAnsi="Arial"/>
                <w:sz w:val="14"/>
                <w:szCs w:val="14"/>
                <w:color w:val="auto"/>
              </w:rPr>
              <w:t>(9.6)</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1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3"/>
        </w:trPr>
        <w:tc>
          <w:tcPr>
            <w:tcW w:w="640" w:type="dxa"/>
            <w:vAlign w:val="bottom"/>
          </w:tcPr>
          <w:p>
            <w:pPr>
              <w:jc w:val="right"/>
              <w:ind w:right="89"/>
              <w:spacing w:after="0"/>
              <w:rPr>
                <w:sz w:val="20"/>
                <w:szCs w:val="20"/>
                <w:color w:val="auto"/>
              </w:rPr>
            </w:pPr>
            <w:r>
              <w:rPr>
                <w:rFonts w:ascii="Arial" w:cs="Arial" w:eastAsia="Arial" w:hAnsi="Arial"/>
                <w:sz w:val="14"/>
                <w:szCs w:val="14"/>
                <w:color w:val="auto"/>
                <w:w w:val="98"/>
              </w:rPr>
              <w:t>1,289.8</w:t>
            </w: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1,257.6</w:t>
            </w: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1,267.1</w:t>
            </w:r>
          </w:p>
        </w:tc>
      </w:tr>
      <w:tr>
        <w:trPr>
          <w:trHeight w:val="213"/>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38.0</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37.9</w:t>
            </w:r>
          </w:p>
        </w:tc>
      </w:tr>
      <w:tr>
        <w:trPr>
          <w:trHeight w:val="213"/>
        </w:trPr>
        <w:tc>
          <w:tcPr>
            <w:tcW w:w="640" w:type="dxa"/>
            <w:vAlign w:val="bottom"/>
          </w:tcPr>
          <w:p>
            <w:pPr>
              <w:jc w:val="right"/>
              <w:ind w:right="49"/>
              <w:spacing w:after="0"/>
              <w:rPr>
                <w:sz w:val="20"/>
                <w:szCs w:val="20"/>
                <w:color w:val="auto"/>
              </w:rPr>
            </w:pPr>
            <w:r>
              <w:rPr>
                <w:rFonts w:ascii="Arial" w:cs="Arial" w:eastAsia="Arial" w:hAnsi="Arial"/>
                <w:sz w:val="14"/>
                <w:szCs w:val="14"/>
                <w:color w:val="auto"/>
              </w:rPr>
              <w:t>(11.7)</w:t>
            </w:r>
          </w:p>
        </w:tc>
        <w:tc>
          <w:tcPr>
            <w:tcW w:w="5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34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17"/>
        </w:trPr>
        <w:tc>
          <w:tcPr>
            <w:tcW w:w="6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07"/>
        </w:trPr>
        <w:tc>
          <w:tcPr>
            <w:tcW w:w="640" w:type="dxa"/>
            <w:vAlign w:val="bottom"/>
          </w:tcPr>
          <w:p>
            <w:pPr>
              <w:jc w:val="right"/>
              <w:ind w:right="89"/>
              <w:spacing w:after="0"/>
              <w:rPr>
                <w:sz w:val="20"/>
                <w:szCs w:val="20"/>
                <w:color w:val="auto"/>
              </w:rPr>
            </w:pPr>
            <w:r>
              <w:rPr>
                <w:rFonts w:ascii="Arial" w:cs="Arial" w:eastAsia="Arial" w:hAnsi="Arial"/>
                <w:sz w:val="14"/>
                <w:szCs w:val="14"/>
                <w:color w:val="auto"/>
                <w:w w:val="98"/>
              </w:rPr>
              <w:t>1,316.1</w:t>
            </w:r>
          </w:p>
        </w:tc>
        <w:tc>
          <w:tcPr>
            <w:tcW w:w="5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1,279.1</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1,288.4</w:t>
            </w:r>
          </w:p>
        </w:tc>
      </w:tr>
      <w:tr>
        <w:trPr>
          <w:trHeight w:val="24"/>
        </w:trPr>
        <w:tc>
          <w:tcPr>
            <w:tcW w:w="6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-3922395</wp:posOffset>
            </wp:positionV>
            <wp:extent cx="7134225" cy="135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-3566160</wp:posOffset>
            </wp:positionV>
            <wp:extent cx="7134225" cy="313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3136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-2846070</wp:posOffset>
            </wp:positionV>
            <wp:extent cx="7134225" cy="135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-2295525</wp:posOffset>
            </wp:positionV>
            <wp:extent cx="7134225" cy="135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-1939290</wp:posOffset>
            </wp:positionV>
            <wp:extent cx="7134225" cy="313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313690"/>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-1219200</wp:posOffset>
            </wp:positionV>
            <wp:extent cx="713422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-668655</wp:posOffset>
            </wp:positionV>
            <wp:extent cx="713422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-313055</wp:posOffset>
            </wp:positionV>
            <wp:extent cx="7134225" cy="144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-33020</wp:posOffset>
            </wp:positionV>
            <wp:extent cx="559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9435" cy="825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-7620</wp:posOffset>
            </wp:positionV>
            <wp:extent cx="559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9435" cy="825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-948055</wp:posOffset>
            </wp:positionV>
            <wp:extent cx="7134225" cy="144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-2574925</wp:posOffset>
            </wp:positionV>
            <wp:extent cx="7134225"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40"/>
            <w:col w:w="5740"/>
          </w:cols>
          <w:pgMar w:left="320" w:top="1032" w:right="339" w:bottom="1440" w:gutter="0" w:footer="0" w:header="0"/>
          <w:type w:val="continuous"/>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40" w:type="dxa"/>
            <w:vAlign w:val="bottom"/>
          </w:tcPr>
          <w:p>
            <w:pPr>
              <w:spacing w:after="0"/>
              <w:rPr>
                <w:sz w:val="14"/>
                <w:szCs w:val="14"/>
                <w:color w:val="auto"/>
              </w:rPr>
            </w:pPr>
          </w:p>
        </w:tc>
        <w:tc>
          <w:tcPr>
            <w:tcW w:w="16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World Kinect</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Excess of</w:t>
            </w:r>
          </w:p>
        </w:tc>
        <w:tc>
          <w:tcPr>
            <w:tcW w:w="120" w:type="dxa"/>
            <w:vAlign w:val="bottom"/>
          </w:tcPr>
          <w:p>
            <w:pPr>
              <w:spacing w:after="0"/>
              <w:rPr>
                <w:sz w:val="4"/>
                <w:szCs w:val="4"/>
                <w:color w:val="auto"/>
              </w:rPr>
            </w:pPr>
          </w:p>
        </w:tc>
        <w:tc>
          <w:tcPr>
            <w:tcW w:w="84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4"/>
                <w:szCs w:val="4"/>
                <w:color w:val="auto"/>
              </w:rPr>
            </w:pPr>
          </w:p>
        </w:tc>
        <w:tc>
          <w:tcPr>
            <w:tcW w:w="1360" w:type="dxa"/>
            <w:vAlign w:val="bottom"/>
            <w:gridSpan w:val="2"/>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4"/>
                <w:szCs w:val="4"/>
                <w:color w:val="auto"/>
              </w:rPr>
            </w:pPr>
          </w:p>
        </w:tc>
        <w:tc>
          <w:tcPr>
            <w:tcW w:w="1200" w:type="dxa"/>
            <w:vAlign w:val="bottom"/>
            <w:gridSpan w:val="2"/>
            <w:vMerge w:val="restart"/>
          </w:tcPr>
          <w:p>
            <w:pPr>
              <w:jc w:val="center"/>
              <w:ind w:right="220"/>
              <w:spacing w:after="0" w:line="120" w:lineRule="exact"/>
              <w:rPr>
                <w:sz w:val="20"/>
                <w:szCs w:val="20"/>
                <w:color w:val="auto"/>
              </w:rPr>
            </w:pPr>
            <w:r>
              <w:rPr>
                <w:rFonts w:ascii="Arial" w:cs="Arial" w:eastAsia="Arial" w:hAnsi="Arial"/>
                <w:sz w:val="13"/>
                <w:szCs w:val="13"/>
                <w:b w:val="1"/>
                <w:bCs w:val="1"/>
                <w:color w:val="auto"/>
              </w:rPr>
              <w:t>Shareholders'</w:t>
            </w:r>
          </w:p>
        </w:tc>
        <w:tc>
          <w:tcPr>
            <w:tcW w:w="120" w:type="dxa"/>
            <w:vAlign w:val="bottom"/>
          </w:tcPr>
          <w:p>
            <w:pPr>
              <w:spacing w:after="0"/>
              <w:rPr>
                <w:sz w:val="4"/>
                <w:szCs w:val="4"/>
                <w:color w:val="auto"/>
              </w:rPr>
            </w:pPr>
          </w:p>
        </w:tc>
        <w:tc>
          <w:tcPr>
            <w:tcW w:w="1280" w:type="dxa"/>
            <w:vAlign w:val="bottom"/>
            <w:gridSpan w:val="2"/>
            <w:vMerge w:val="restart"/>
          </w:tcPr>
          <w:p>
            <w:pPr>
              <w:jc w:val="center"/>
              <w:ind w:right="240"/>
              <w:spacing w:after="0" w:line="120" w:lineRule="exact"/>
              <w:rPr>
                <w:sz w:val="20"/>
                <w:szCs w:val="20"/>
                <w:color w:val="auto"/>
              </w:rPr>
            </w:pPr>
            <w:r>
              <w:rPr>
                <w:rFonts w:ascii="Arial" w:cs="Arial" w:eastAsia="Arial" w:hAnsi="Arial"/>
                <w:sz w:val="13"/>
                <w:szCs w:val="13"/>
                <w:b w:val="1"/>
                <w:bCs w:val="1"/>
                <w:color w:val="auto"/>
              </w:rPr>
              <w:t>Interest</w:t>
            </w:r>
          </w:p>
        </w:tc>
        <w:tc>
          <w:tcPr>
            <w:tcW w:w="160" w:type="dxa"/>
            <w:vAlign w:val="bottom"/>
          </w:tcPr>
          <w:p>
            <w:pPr>
              <w:spacing w:after="0"/>
              <w:rPr>
                <w:sz w:val="4"/>
                <w:szCs w:val="4"/>
                <w:color w:val="auto"/>
              </w:rPr>
            </w:pPr>
          </w:p>
        </w:tc>
        <w:tc>
          <w:tcPr>
            <w:tcW w:w="700" w:type="dxa"/>
            <w:vAlign w:val="bottom"/>
            <w:vMerge w:val="restart"/>
          </w:tcPr>
          <w:p>
            <w:pPr>
              <w:jc w:val="right"/>
              <w:ind w:right="169"/>
              <w:spacing w:after="0" w:line="12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7"/>
        </w:trPr>
        <w:tc>
          <w:tcPr>
            <w:tcW w:w="2540" w:type="dxa"/>
            <w:vAlign w:val="bottom"/>
          </w:tcPr>
          <w:p>
            <w:pPr>
              <w:spacing w:after="0"/>
              <w:rPr>
                <w:sz w:val="4"/>
                <w:szCs w:val="4"/>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6"/>
                <w:szCs w:val="16"/>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7"/>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4"/>
        </w:trPr>
        <w:tc>
          <w:tcPr>
            <w:tcW w:w="2540" w:type="dxa"/>
            <w:vAlign w:val="bottom"/>
          </w:tcPr>
          <w:p>
            <w:pPr>
              <w:ind w:left="40"/>
              <w:spacing w:after="0"/>
              <w:rPr>
                <w:sz w:val="20"/>
                <w:szCs w:val="20"/>
                <w:color w:val="auto"/>
              </w:rPr>
            </w:pPr>
            <w:r>
              <w:rPr>
                <w:rFonts w:ascii="Arial" w:cs="Arial" w:eastAsia="Arial" w:hAnsi="Arial"/>
                <w:sz w:val="14"/>
                <w:szCs w:val="14"/>
                <w:color w:val="auto"/>
              </w:rPr>
              <w:t>Amortization of share-based payment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2540" w:type="dxa"/>
            <w:vAlign w:val="bottom"/>
          </w:tcPr>
          <w:p>
            <w:pPr>
              <w:ind w:left="40"/>
              <w:spacing w:after="0"/>
              <w:rPr>
                <w:sz w:val="20"/>
                <w:szCs w:val="20"/>
                <w:color w:val="auto"/>
              </w:rPr>
            </w:pPr>
            <w:r>
              <w:rPr>
                <w:rFonts w:ascii="Arial" w:cs="Arial" w:eastAsia="Arial" w:hAnsi="Arial"/>
                <w:sz w:val="14"/>
                <w:szCs w:val="14"/>
                <w:color w:val="auto"/>
              </w:rPr>
              <w:t>awards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540" w:type="dxa"/>
            <w:vAlign w:val="bottom"/>
          </w:tcPr>
          <w:p>
            <w:pPr>
              <w:ind w:left="40"/>
              <w:spacing w:after="0"/>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40"/>
              <w:spacing w:after="0" w:line="143"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ind w:left="40"/>
              <w:spacing w:after="0" w:line="137" w:lineRule="exact"/>
              <w:rPr>
                <w:sz w:val="20"/>
                <w:szCs w:val="20"/>
                <w:color w:val="auto"/>
              </w:rPr>
            </w:pPr>
            <w:r>
              <w:rPr>
                <w:rFonts w:ascii="Arial" w:cs="Arial" w:eastAsia="Arial" w:hAnsi="Arial"/>
                <w:sz w:val="14"/>
                <w:szCs w:val="14"/>
                <w:color w:val="auto"/>
              </w:rPr>
              <w:t>withholding taxes related to share-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2"/>
        </w:trPr>
        <w:tc>
          <w:tcPr>
            <w:tcW w:w="254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1"/>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March 31, 2025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1,921.2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1,928.3</w:t>
            </w:r>
          </w:p>
        </w:tc>
        <w:tc>
          <w:tcPr>
            <w:tcW w:w="0" w:type="dxa"/>
            <w:vAlign w:val="bottom"/>
          </w:tcPr>
          <w:p>
            <w:pPr>
              <w:spacing w:after="0"/>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(339.1)</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4"/>
        </w:trPr>
        <w:tc>
          <w:tcPr>
            <w:tcW w:w="2540" w:type="dxa"/>
            <w:vAlign w:val="bottom"/>
          </w:tcPr>
          <w:p>
            <w:pPr>
              <w:ind w:left="40"/>
              <w:spacing w:after="0"/>
              <w:rPr>
                <w:sz w:val="20"/>
                <w:szCs w:val="20"/>
                <w:color w:val="auto"/>
              </w:rPr>
            </w:pPr>
            <w:r>
              <w:rPr>
                <w:rFonts w:ascii="Arial" w:cs="Arial" w:eastAsia="Arial" w:hAnsi="Arial"/>
                <w:sz w:val="14"/>
                <w:szCs w:val="14"/>
                <w:color w:val="auto"/>
              </w:rPr>
              <w:t>Amortization of share-based payment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2540" w:type="dxa"/>
            <w:vAlign w:val="bottom"/>
          </w:tcPr>
          <w:p>
            <w:pPr>
              <w:ind w:left="40"/>
              <w:spacing w:after="0"/>
              <w:rPr>
                <w:sz w:val="20"/>
                <w:szCs w:val="20"/>
                <w:color w:val="auto"/>
              </w:rPr>
            </w:pPr>
            <w:r>
              <w:rPr>
                <w:rFonts w:ascii="Arial" w:cs="Arial" w:eastAsia="Arial" w:hAnsi="Arial"/>
                <w:sz w:val="14"/>
                <w:szCs w:val="14"/>
                <w:color w:val="auto"/>
              </w:rPr>
              <w:t>awards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(cancellation) of common</w:t>
            </w: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stock related to share-based payment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540" w:type="dxa"/>
            <w:vAlign w:val="bottom"/>
          </w:tcPr>
          <w:p>
            <w:pPr>
              <w:ind w:left="40"/>
              <w:spacing w:after="0"/>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40"/>
              <w:spacing w:after="0" w:line="143"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ind w:left="40"/>
              <w:spacing w:after="0" w:line="137" w:lineRule="exact"/>
              <w:rPr>
                <w:sz w:val="20"/>
                <w:szCs w:val="20"/>
                <w:color w:val="auto"/>
              </w:rPr>
            </w:pPr>
            <w:r>
              <w:rPr>
                <w:rFonts w:ascii="Arial" w:cs="Arial" w:eastAsia="Arial" w:hAnsi="Arial"/>
                <w:sz w:val="14"/>
                <w:szCs w:val="14"/>
                <w:color w:val="auto"/>
              </w:rPr>
              <w:t>withholding taxes related to share-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2540" w:type="dxa"/>
            <w:vAlign w:val="bottom"/>
          </w:tcPr>
          <w:p>
            <w:pPr>
              <w:ind w:left="40"/>
              <w:spacing w:after="0"/>
              <w:rPr>
                <w:sz w:val="20"/>
                <w:szCs w:val="20"/>
                <w:color w:val="auto"/>
              </w:rPr>
            </w:pPr>
            <w:r>
              <w:rPr>
                <w:rFonts w:ascii="Arial" w:cs="Arial" w:eastAsia="Arial" w:hAnsi="Arial"/>
                <w:sz w:val="14"/>
                <w:szCs w:val="14"/>
                <w:color w:val="auto"/>
              </w:rPr>
              <w:t>based payment awards</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10"/>
        </w:trPr>
        <w:tc>
          <w:tcPr>
            <w:tcW w:w="25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213"/>
        </w:trPr>
        <w:tc>
          <w:tcPr>
            <w:tcW w:w="2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noncontrolling interest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7"/>
        </w:trPr>
        <w:tc>
          <w:tcPr>
            <w:tcW w:w="2540" w:type="dxa"/>
            <w:vAlign w:val="bottom"/>
          </w:tcPr>
          <w:p>
            <w:pPr>
              <w:ind w:left="20"/>
              <w:spacing w:after="0"/>
              <w:rPr>
                <w:sz w:val="20"/>
                <w:szCs w:val="20"/>
                <w:color w:val="auto"/>
              </w:rPr>
            </w:pPr>
            <w:r>
              <w:rPr>
                <w:rFonts w:ascii="Arial" w:cs="Arial" w:eastAsia="Arial" w:hAnsi="Arial"/>
                <w:sz w:val="14"/>
                <w:szCs w:val="14"/>
                <w:color w:val="auto"/>
              </w:rPr>
              <w:t>Balance as of June 30, 2025</w:t>
            </w:r>
          </w:p>
        </w:tc>
        <w:tc>
          <w:tcPr>
            <w:tcW w:w="680" w:type="dxa"/>
            <w:vAlign w:val="bottom"/>
          </w:tcPr>
          <w:p>
            <w:pPr>
              <w:jc w:val="right"/>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1,604.8</w:t>
            </w: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4"/>
                <w:szCs w:val="14"/>
                <w:color w:val="auto"/>
              </w:rPr>
              <w:t>Cash dividends declared</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8"/>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share-based payment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3"/>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7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540" w:type="dxa"/>
            <w:vAlign w:val="bottom"/>
          </w:tcPr>
          <w:p>
            <w:pPr>
              <w:ind w:left="20"/>
              <w:spacing w:after="0"/>
              <w:rPr>
                <w:sz w:val="20"/>
                <w:szCs w:val="20"/>
                <w:color w:val="auto"/>
              </w:rPr>
            </w:pPr>
            <w:r>
              <w:rPr>
                <w:rFonts w:ascii="Arial" w:cs="Arial" w:eastAsia="Arial" w:hAnsi="Arial"/>
                <w:sz w:val="14"/>
                <w:szCs w:val="14"/>
                <w:color w:val="auto"/>
              </w:rPr>
              <w:t>Purchases of common stock tendered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40" w:type="dxa"/>
            <w:vAlign w:val="bottom"/>
          </w:tcPr>
          <w:p>
            <w:pPr>
              <w:ind w:left="20"/>
              <w:spacing w:after="0" w:line="143" w:lineRule="exact"/>
              <w:rPr>
                <w:sz w:val="20"/>
                <w:szCs w:val="20"/>
                <w:color w:val="auto"/>
              </w:rPr>
            </w:pPr>
            <w:r>
              <w:rPr>
                <w:rFonts w:ascii="Arial" w:cs="Arial" w:eastAsia="Arial" w:hAnsi="Arial"/>
                <w:sz w:val="14"/>
                <w:szCs w:val="14"/>
                <w:color w:val="auto"/>
              </w:rPr>
              <w:t>by employees to satisfy the required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540" w:type="dxa"/>
            <w:vAlign w:val="bottom"/>
          </w:tcPr>
          <w:p>
            <w:pPr>
              <w:ind w:left="20"/>
              <w:spacing w:after="0" w:line="137" w:lineRule="exact"/>
              <w:rPr>
                <w:sz w:val="20"/>
                <w:szCs w:val="20"/>
                <w:color w:val="auto"/>
              </w:rPr>
            </w:pPr>
            <w:r>
              <w:rPr>
                <w:rFonts w:ascii="Arial" w:cs="Arial" w:eastAsia="Arial" w:hAnsi="Arial"/>
                <w:sz w:val="14"/>
                <w:szCs w:val="14"/>
                <w:color w:val="auto"/>
              </w:rPr>
              <w:t>withholding taxes related to share-</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2"/>
        </w:trPr>
        <w:tc>
          <w:tcPr>
            <w:tcW w:w="2540" w:type="dxa"/>
            <w:vAlign w:val="bottom"/>
          </w:tcPr>
          <w:p>
            <w:pPr>
              <w:ind w:left="20"/>
              <w:spacing w:after="0"/>
              <w:rPr>
                <w:sz w:val="20"/>
                <w:szCs w:val="20"/>
                <w:color w:val="auto"/>
              </w:rPr>
            </w:pPr>
            <w:r>
              <w:rPr>
                <w:rFonts w:ascii="Arial" w:cs="Arial" w:eastAsia="Arial" w:hAnsi="Arial"/>
                <w:sz w:val="14"/>
                <w:szCs w:val="14"/>
                <w:color w:val="auto"/>
              </w:rPr>
              <w:t>based payment awards</w:t>
            </w: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10"/>
        </w:trPr>
        <w:tc>
          <w:tcPr>
            <w:tcW w:w="2540" w:type="dxa"/>
            <w:vAlign w:val="bottom"/>
          </w:tcPr>
          <w:p>
            <w:pPr>
              <w:ind w:left="20"/>
              <w:spacing w:after="0"/>
              <w:rPr>
                <w:sz w:val="20"/>
                <w:szCs w:val="20"/>
                <w:color w:val="auto"/>
              </w:rPr>
            </w:pPr>
            <w:r>
              <w:rPr>
                <w:rFonts w:ascii="Arial" w:cs="Arial" w:eastAsia="Arial" w:hAnsi="Arial"/>
                <w:sz w:val="14"/>
                <w:szCs w:val="14"/>
                <w:color w:val="auto"/>
              </w:rPr>
              <w:t>Other</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36"/>
        </w:trPr>
        <w:tc>
          <w:tcPr>
            <w:tcW w:w="2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2025</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1,626.5</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6" w:name="page7"/>
    <w:bookmarkEnd w:id="6"/>
    <w:p>
      <w:pPr>
        <w:spacing w:after="0"/>
        <w:rPr>
          <w:sz w:val="20"/>
          <w:szCs w:val="20"/>
          <w:color w:val="auto"/>
        </w:rPr>
      </w:pPr>
      <w:r>
        <w:rPr>
          <w:rFonts w:ascii="Arial" w:cs="Arial" w:eastAsia="Arial" w:hAnsi="Arial"/>
          <w:sz w:val="21"/>
          <w:szCs w:val="21"/>
          <w:b w:val="1"/>
          <w:bCs w:val="1"/>
          <w:color w:val="auto"/>
        </w:rPr>
        <w:t>WORLD KINECT CORPORATION</w:t>
      </w:r>
    </w:p>
    <w:p>
      <w:pPr>
        <w:spacing w:after="0" w:line="34" w:lineRule="exact"/>
        <w:rPr>
          <w:sz w:val="20"/>
          <w:szCs w:val="20"/>
          <w:color w:val="auto"/>
        </w:rPr>
      </w:pPr>
    </w:p>
    <w:p>
      <w:pPr>
        <w:ind w:right="4800"/>
        <w:spacing w:after="0" w:line="271" w:lineRule="auto"/>
        <w:rPr>
          <w:sz w:val="20"/>
          <w:szCs w:val="20"/>
          <w:color w:val="auto"/>
        </w:rPr>
      </w:pPr>
      <w:r>
        <w:rPr>
          <w:rFonts w:ascii="Arial" w:cs="Arial" w:eastAsia="Arial" w:hAnsi="Arial"/>
          <w:sz w:val="21"/>
          <w:szCs w:val="21"/>
          <w:b w:val="1"/>
          <w:bCs w:val="1"/>
          <w:color w:val="auto"/>
        </w:rPr>
        <w:t xml:space="preserve">CONDENSED CONSOLIDATED STATEMENTS OF CASH FLOWS </w:t>
      </w:r>
      <w:r>
        <w:rPr>
          <w:rFonts w:ascii="Arial" w:cs="Arial" w:eastAsia="Arial" w:hAnsi="Arial"/>
          <w:sz w:val="21"/>
          <w:szCs w:val="21"/>
          <w:color w:val="auto"/>
        </w:rPr>
        <w:t>(Unaudited -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6"/>
                <w:szCs w:val="16"/>
                <w:b w:val="1"/>
                <w:bCs w:val="1"/>
                <w:color w:val="auto"/>
              </w:rPr>
              <w:t>For the Nine Months Ended September 30,</w:t>
            </w:r>
          </w:p>
        </w:tc>
      </w:tr>
      <w:tr>
        <w:trPr>
          <w:trHeight w:val="220"/>
        </w:trPr>
        <w:tc>
          <w:tcPr>
            <w:tcW w:w="67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2026</w:t>
            </w: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b w:val="1"/>
                <w:bCs w:val="1"/>
                <w:color w:val="auto"/>
              </w:rPr>
              <w:t>2025</w:t>
            </w:r>
          </w:p>
        </w:tc>
      </w:tr>
      <w:tr>
        <w:trPr>
          <w:trHeight w:val="207"/>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5"/>
        </w:trPr>
        <w:tc>
          <w:tcPr>
            <w:tcW w:w="6740" w:type="dxa"/>
            <w:vAlign w:val="bottom"/>
          </w:tcPr>
          <w:p>
            <w:pPr>
              <w:ind w:left="20"/>
              <w:spacing w:after="0"/>
              <w:rPr>
                <w:sz w:val="20"/>
                <w:szCs w:val="20"/>
                <w:color w:val="auto"/>
              </w:rPr>
            </w:pPr>
            <w:r>
              <w:rPr>
                <w:rFonts w:ascii="Arial" w:cs="Arial" w:eastAsia="Arial" w:hAnsi="Arial"/>
                <w:sz w:val="16"/>
                <w:szCs w:val="16"/>
                <w:color w:val="auto"/>
              </w:rPr>
              <w:t>Net income (loss) including noncontrolling interest</w:t>
            </w:r>
          </w:p>
        </w:tc>
        <w:tc>
          <w:tcPr>
            <w:tcW w:w="1380" w:type="dxa"/>
            <w:vAlign w:val="bottom"/>
          </w:tcPr>
          <w:p>
            <w:pPr>
              <w:jc w:val="right"/>
              <w:ind w:right="120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113.2</w:t>
            </w:r>
          </w:p>
        </w:tc>
        <w:tc>
          <w:tcPr>
            <w:tcW w:w="140" w:type="dxa"/>
            <w:vAlign w:val="bottom"/>
          </w:tcPr>
          <w:p>
            <w:pPr>
              <w:spacing w:after="0"/>
              <w:rPr>
                <w:sz w:val="19"/>
                <w:szCs w:val="19"/>
                <w:color w:val="auto"/>
              </w:rPr>
            </w:pPr>
          </w:p>
        </w:tc>
        <w:tc>
          <w:tcPr>
            <w:tcW w:w="500" w:type="dxa"/>
            <w:vAlign w:val="bottom"/>
          </w:tcPr>
          <w:p>
            <w:pPr>
              <w:jc w:val="right"/>
              <w:ind w:right="320"/>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(332.2)</w:t>
            </w:r>
          </w:p>
        </w:tc>
      </w:tr>
      <w:tr>
        <w:trPr>
          <w:trHeight w:val="175"/>
        </w:trPr>
        <w:tc>
          <w:tcPr>
            <w:tcW w:w="6740" w:type="dxa"/>
            <w:vAlign w:val="bottom"/>
            <w:shd w:val="clear" w:color="auto" w:fill="CCEEFF"/>
          </w:tcPr>
          <w:p>
            <w:pPr>
              <w:ind w:left="140"/>
              <w:spacing w:after="0" w:line="175" w:lineRule="exact"/>
              <w:rPr>
                <w:sz w:val="20"/>
                <w:szCs w:val="20"/>
                <w:color w:val="auto"/>
              </w:rPr>
            </w:pPr>
            <w:r>
              <w:rPr>
                <w:rFonts w:ascii="Arial" w:cs="Arial" w:eastAsia="Arial" w:hAnsi="Arial"/>
                <w:sz w:val="16"/>
                <w:szCs w:val="16"/>
                <w:color w:val="auto"/>
              </w:rPr>
              <w:t>Adjustments to reconcile net income including noncontrolling interest to net cash provided</w:t>
            </w:r>
          </w:p>
        </w:tc>
        <w:tc>
          <w:tcPr>
            <w:tcW w:w="1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213"/>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by operating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Unrealized (gain) loss on derivatives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(Gain) loss on sale of business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73.0</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Noncash operating lease expense</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payment award compensation costs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Deferred income tax expense (benefit)</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foreign currency (gains) losses, net</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Goodwill and other asset impairment charges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443.1</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25"/>
        </w:trPr>
        <w:tc>
          <w:tcPr>
            <w:tcW w:w="6740" w:type="dxa"/>
            <w:vAlign w:val="bottom"/>
          </w:tcPr>
          <w:p>
            <w:pPr>
              <w:ind w:left="140"/>
              <w:spacing w:after="0"/>
              <w:rPr>
                <w:sz w:val="20"/>
                <w:szCs w:val="20"/>
                <w:color w:val="auto"/>
              </w:rPr>
            </w:pPr>
            <w:r>
              <w:rPr>
                <w:rFonts w:ascii="Arial" w:cs="Arial" w:eastAsia="Arial" w:hAnsi="Arial"/>
                <w:sz w:val="16"/>
                <w:szCs w:val="16"/>
                <w:color w:val="auto"/>
              </w:rPr>
              <w:t>Changes in assets and liabilities, net of acquisitions and divestitures:</w:t>
            </w:r>
          </w:p>
        </w:tc>
        <w:tc>
          <w:tcPr>
            <w:tcW w:w="1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 net</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Other current assets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collateral with counterparties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Other non-current assets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(104.8)</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(55.5)</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derivative assets and liabilities, net</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1,159.0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(90.2)</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r>
      <w:tr>
        <w:trPr>
          <w:trHeight w:val="225"/>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long-term liabilities</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05"/>
        </w:trPr>
        <w:tc>
          <w:tcPr>
            <w:tcW w:w="67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sale of business, net of divested cash</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27"/>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investing activities, net</w:t>
            </w: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Borrowings of debt</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4,200.0</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2,201.0</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Repayments of debt</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(4,208.2)</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(2,281.7)</w:t>
            </w:r>
          </w:p>
        </w:tc>
      </w:tr>
      <w:tr>
        <w:trPr>
          <w:trHeight w:val="225"/>
        </w:trPr>
        <w:tc>
          <w:tcPr>
            <w:tcW w:w="6740" w:type="dxa"/>
            <w:vAlign w:val="bottom"/>
          </w:tcPr>
          <w:p>
            <w:pPr>
              <w:ind w:left="240"/>
              <w:spacing w:after="0"/>
              <w:rPr>
                <w:sz w:val="20"/>
                <w:szCs w:val="20"/>
                <w:color w:val="auto"/>
              </w:rPr>
            </w:pPr>
            <w:r>
              <w:rPr>
                <w:rFonts w:ascii="Arial" w:cs="Arial" w:eastAsia="Arial" w:hAnsi="Arial"/>
                <w:sz w:val="16"/>
                <w:szCs w:val="16"/>
                <w:color w:val="auto"/>
              </w:rPr>
              <w:t>Dividends paid on common stock</w:t>
            </w:r>
          </w:p>
        </w:tc>
        <w:tc>
          <w:tcPr>
            <w:tcW w:w="1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(32.6)</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Repurchases of common stock</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25"/>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financing activities, net</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2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(163.7)</w:t>
            </w:r>
          </w:p>
        </w:tc>
      </w:tr>
      <w:tr>
        <w:trPr>
          <w:trHeight w:val="220"/>
        </w:trPr>
        <w:tc>
          <w:tcPr>
            <w:tcW w:w="6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Effect of exchange rate changes on cash and cash equivalents</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1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25"/>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as of the beginning of the period</w:t>
            </w:r>
          </w:p>
        </w:tc>
        <w:tc>
          <w:tcPr>
            <w:tcW w:w="1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w:t>
            </w:r>
          </w:p>
        </w:tc>
      </w:tr>
      <w:tr>
        <w:trPr>
          <w:trHeight w:val="24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end of the period</w:t>
            </w:r>
          </w:p>
        </w:tc>
        <w:tc>
          <w:tcPr>
            <w:tcW w:w="1380" w:type="dxa"/>
            <w:vAlign w:val="bottom"/>
            <w:tcBorders>
              <w:bottom w:val="single" w:sz="8" w:color="auto"/>
            </w:tcBorders>
            <w:shd w:val="clear" w:color="auto" w:fill="CCEEFF"/>
          </w:tcPr>
          <w:p>
            <w:pPr>
              <w:jc w:val="right"/>
              <w:ind w:right="120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Right of use assets obtained in exchange for new operating lease liabilities were $28.8 million and $35.3 million during the nine months ended September 30, 2026 and 2025, respectively.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ectPr>
          <w:pgSz w:w="11900" w:h="16838" w:orient="portrait"/>
          <w:cols w:equalWidth="0" w:num="1">
            <w:col w:w="11240"/>
          </w:cols>
          <w:pgMar w:left="320" w:top="1098" w:right="339" w:bottom="1440" w:gutter="0" w:footer="0" w:header="0"/>
        </w:sectPr>
      </w:pP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1"/>
          <w:szCs w:val="21"/>
          <w:b w:val="1"/>
          <w:bCs w:val="1"/>
          <w:color w:val="auto"/>
        </w:rPr>
        <w:t>WORLD KINECT CORPORATION NOTES TO THE CONDENSED CONSOLIDATED FINANCIAL STATEMENTS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New Accounting Standards, and Significant Accounting Policies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World Kinect Corporation (the "Company") was incorporated in Florida in July 1984 and, along with its consolidated subsidiaries, is referred to collectively in this Quarterly Report on Form 10-Q ("10-Q Report") as "World Kinect," "we," "our" and "us."</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global provider of aviation, marine, and ground-based transportation fuels and complementary services operating under our core commercial brand, World Fuel. Through an integrated global supply and logistics network, we source and distribute products and services to meet customer needs throughout the world, including lower-carbon fuels to support our customers' energy-transition objectives. In the United States, we also market natural gas and related solutions.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Condensed Consolidated Financial Statements and related Notes include our parent company and all subsidiaries where we exercise control, and include the operations of acquired businesses after the completion of their acquisition. The decision of whether or not to consolidate an entity requires consideration of majority voting interests, as well as effective economic or other control over the entity. The Condensed Consolidated Financial Statements are prepared in accordance with accounting principles generally accepted in the United States of America ("U.S. GAAP"), the instructions to Form 10-Q, and Article 10 of Regulation S-X. Accordingly, they do not include all the information and footnotes required by U.S. GAAP for complete financial statements. However, except as disclosed herein, there has been no material change in the information disclosed in the Notes included in our 2025 Annual Report on Form 10-K ("2025 10-K Report"). All intercompany transactions among our businesses have been eliminated.</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Revenues, expenses, assets and liabilities can vary during each quarter of the year. Therefore, the results and trends in these interim financial statements may not be representative of those for the full year.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2025 10-K Report.</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During the three months ended September 30, 2026, the Company recognized a $9.1 million reduction in Net income (loss) attributable to World Kinect to correct errors primarily related to prior interim periods within the current fiscal year. The Company concluded that the errors were not material to the consolidated financial statements in the current interim periods or to any previously reported interim or annual period.</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rounding, certain amounts may not add; however, all percentages have been calculated using unrounded amounts. Certain prior period amounts have been reclassified to conform to the current presentation.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but Not Yet Adopted</w:t>
      </w:r>
    </w:p>
    <w:p>
      <w:pPr>
        <w:spacing w:after="0" w:line="2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Expense Disaggregation. </w:t>
      </w:r>
      <w:r>
        <w:rPr>
          <w:rFonts w:ascii="Arial" w:cs="Arial" w:eastAsia="Arial" w:hAnsi="Arial"/>
          <w:sz w:val="17"/>
          <w:szCs w:val="17"/>
          <w:color w:val="auto"/>
        </w:rPr>
        <w:t>Accounting Standards Update ("ASU") 2024-03, Income Statement - Reporting Comprehensive Income -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Disaggregation Disclosures (Subtopic 220-40): Disaggregation of Income Statement Expenses, was issued in November 2024. ASU 2024-03 does not change the expense captions an entity presents on the face of the income statement; however, it requires disaggregation of certain expense captions into specified categories in disclosures within the footnotes to the financial statements for each interim and annual period. The amendments require disclosure of the amounts of (a) purchases of inventory, (b) employee compensation, (c) depreciation, (d) intangible asset amortization, and (e) depreciation, depletion, and amortization recognized as part of oil- and gas-producing activities included in each relevant expense caption. The amendments also require disclosure of certain amounts that are already required to be disclosed under current guidance in the same disclosure as the other disaggregation requirements, a qualitative description of the amounts remaining in relevant expense captions that are not separately disaggregated quantitatively, and the total amount of selling expenses as well as, in annual reporting periods, the entity's definition of selling expenses. ASU 2024-03 is effective for annual reporting periods beginning after December 15, 2026, and interim reporting periods within annual reporting periods beginning after December 15, 2027. Early adoption is permitted. The amendments should be applied prospectively to financial statements issued for reporting periods after the effective date of the update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retrospectively to any or all prior periods presented in the financial statements. The Company is currently evaluating the amendments to identify potential impacts to the Company's Notes to the Condensed Consolidated Financial Statements and processes.</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Internal-Use Software</w:t>
      </w:r>
      <w:r>
        <w:rPr>
          <w:rFonts w:ascii="Arial" w:cs="Arial" w:eastAsia="Arial" w:hAnsi="Arial"/>
          <w:sz w:val="18"/>
          <w:szCs w:val="18"/>
          <w:color w:val="auto"/>
        </w:rPr>
        <w:t>. ASU 2025-06, Intangibles - Goodwill and Other - Internal-Use Software (Subtopic 350-40): Targeted Improvements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Internal-Use Software, was issued in September 2025. ASU 2025-06 modernizes the accounting for internal-use software costs by eliminating the prescriptive "project stage" model and introducing a principles-based framework that is intended to better reflect current software development practices and consolidate guidance on website development costs into the broader framework for internal-use software. The amendments are effective for annual reporting periods beginning after December 15, 2027, and interim reporting periods within those annual reporting periods. Early adoption is permitted. The Company is currently evaluating the amendments to identify potential impacts to the Company’s Condensed Consolidated Financial Statements and processes.</w:t>
      </w:r>
    </w:p>
    <w:p>
      <w:pPr>
        <w:spacing w:after="0" w:line="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i w:val="1"/>
          <w:iCs w:val="1"/>
          <w:color w:val="auto"/>
        </w:rPr>
        <w:t>Environmental Credits</w:t>
      </w:r>
      <w:r>
        <w:rPr>
          <w:rFonts w:ascii="Arial" w:cs="Arial" w:eastAsia="Arial" w:hAnsi="Arial"/>
          <w:sz w:val="18"/>
          <w:szCs w:val="18"/>
          <w:color w:val="auto"/>
        </w:rPr>
        <w:t>. ASU 2026-02, Environmental Credits and Environmental Credit Obligations (Topic 818), was issued in May 2026. ASU</w:t>
      </w:r>
      <w:r>
        <w:rPr>
          <w:rFonts w:ascii="Arial" w:cs="Arial" w:eastAsia="Arial" w:hAnsi="Arial"/>
          <w:sz w:val="18"/>
          <w:szCs w:val="18"/>
          <w:i w:val="1"/>
          <w:iCs w:val="1"/>
          <w:color w:val="auto"/>
        </w:rPr>
        <w:t xml:space="preserve"> </w:t>
      </w:r>
      <w:r>
        <w:rPr>
          <w:rFonts w:ascii="Arial" w:cs="Arial" w:eastAsia="Arial" w:hAnsi="Arial"/>
          <w:sz w:val="18"/>
          <w:szCs w:val="18"/>
          <w:color w:val="auto"/>
        </w:rPr>
        <w:t>2026-02 establishes new authoritative guidance for the recognition, measurement, presentation, and disclosure of environmental credits and related environmental credit obligations, including those arising from regulatory compliance programs and activities that generate or give rise to environmental credits, whether generated internally, acquired, traded, or granted. The standard introduces a standardized framework that distinguishes between compliance and noncompliance environmental credits and provides guidance for accounting for both the credits and associated obligations. The amendments are effective for annual reporting periods beginning after December 15, 2027, and interim reporting periods within those annual reporting periods. Early adoption is permitted. The Company is currently evaluating the new guidance to identify potential impacts to the Company’s Condensed Consolidated Financial Statements and processes.</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standards not yet adopted by us that are expected, upon adoption, to have a material impact on the Company’s Condensed Consolidated Financial Statements or processes.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have been no significant changes in the Company's accounting policies from those disclosed in our 2025 10-K Report. The significant accounting policies we use for quarterly financial reporting are disclosed in Note 1. Basis of Presentation, New Accounting Standards, and Significant Accounting Policies of the accompanying Notes to the Consolidated Financial Statements included in our 2025 10-K Report.</w:t>
      </w:r>
    </w:p>
    <w:p>
      <w:pPr>
        <w:spacing w:after="0" w:line="181" w:lineRule="exact"/>
        <w:rPr>
          <w:sz w:val="20"/>
          <w:szCs w:val="20"/>
          <w:color w:val="auto"/>
        </w:rPr>
      </w:pPr>
    </w:p>
    <w:p>
      <w:pPr>
        <w:ind w:right="8280" w:firstLine="7"/>
        <w:spacing w:after="0" w:line="525" w:lineRule="auto"/>
        <w:tabs>
          <w:tab w:leader="none" w:pos="198"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 and Divestitures Assets and Liabilities Held for Sale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Fuel Transportation and Lubricants Disposal Group</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that were no longer profitable or not aligned with the Company's core business and corporate strategy. These exit plans include certain assets and liabilities within the land segment (the "Land Fuel Transportation and Lubricants disposal group") that were expected to be sold during 2026. The disposal group did not meet the criteria to be reported as a discontinued operation; however, the assets and liabilities within the disposal group met the criteria to be classified as held for sale as of December 31, 2025.</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Land Fuel Transportation and Lubricants disposal group assets were assessed for impairment under the held for sale impairment model during the fourth quarter of 2025. As a result, impairment charges totaling $85.1 million were recognized to reduce the carrying amount of the disposal group to its estimated fair value less costs to sell. The total impairment charge included approximately $35.3 million of goodwill that was allocated to the Land Fuel Transportation and Lubricants disposal group, as well as $49.7 million related to the long-lived assets included within the disposal group. The remaining carrying value of disposal group assets and liabilities was classified as Other current assets and Accrued expenses and other current liabilities, respectively, within our Condensed Consolidated Balance Sheet as of December 31, 2025.</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2026, we closed on the sale of a majority of the Land Fuel Transportation and Lubricants disposal group for total proceeds of $82.8 million, subject to inventory and other adjustments. During the second quarter of 2026, we recognized a gain on sale of $1.2 million. Certain assets originally included in the Land Fuel Transportation and Lubricants disposal group were not included in the sale transaction and were no longer considered held for sale as of June 30, 2026. As a result, $4.0 million of impairment charges previously recognized during the fourth quarter of</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2025 were reversed during the second quarter of 2026. As of September 30, 2026, there were no Land Fuel Transportation and Lubricants disposal group assets or liabilities classified as held for sale.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Falmouth Disposal Group</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Also during the fourth quarter of 2025, the Company decided to significantly reduce trading activity at the Falmouth terminal and actively pursue a sale of the terminal and related assets. The Falmouth disposal group has historically been reported within the marine segment. The Falmouth disposal group does not meet the criteria to be reported as a discontinued operation; however, the assets and liabilities within the disposal group met the criteria to be classified as held for sale as of December 31, 2025.</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Falmouth disposal group assets were assessed for impairment under the held for sale impairment model during the fourth quarter of 2025. As a result, an impairment charge of $3.3 million was recognized to reduce the carrying amount of the Falmouth terminal land within the disposal group to its estimated fair value less costs to sell. The remaining carrying value of disposal group assets and liabilities have been reclassified to Other current assets and Accrued expenses and other current liabilities, respectively, within our Condensed Consolidated Balance Sheet. In July 2026, we signed and closed on the sale of the Falmouth terminal and related assets for total proceeds of approximately $1.3 million. As of September 30, 2026, there were no Falmouth disposal group assets or liabilities classified as held for sale.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Acquisitions</w:t>
      </w:r>
    </w:p>
    <w:p>
      <w:pPr>
        <w:spacing w:after="0" w:line="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September 3, 2025, we entered into a definitive agreement with Universal Weather and Aviation to acquire their Trip Support Services division ("Universal TSS"). The acquisition closed on November 5, 2025 for total estimated consideration of $207.0 million, subject to customary adjustments relating to net working capital. At closing, $154.4 million was paid in cash and $ 60.0 million remained payable over the next four years. During the first quarter of 2026, the net working capital adjustments were updated and additional consideration of $8.3 million was paid to the seller. The acquisition was accounted for as a business combination and is reported in the aviation segment.</w:t>
      </w:r>
    </w:p>
    <w:p>
      <w:pPr>
        <w:spacing w:after="0" w:line="8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purchase price allocation was finalized during the second quarter of 2026. The following table summarizes the fair value of the aggregate consideration as well as the final allocation of the purchase price to the fair value of the assets acquired and liabilities assumed (in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11"/>
              <w:spacing w:after="0"/>
              <w:rPr>
                <w:sz w:val="20"/>
                <w:szCs w:val="20"/>
                <w:color w:val="auto"/>
              </w:rPr>
            </w:pPr>
            <w:r>
              <w:rPr>
                <w:rFonts w:ascii="Arial" w:cs="Arial" w:eastAsia="Arial" w:hAnsi="Arial"/>
                <w:sz w:val="18"/>
                <w:szCs w:val="18"/>
                <w:b w:val="1"/>
                <w:bCs w:val="1"/>
                <w:color w:val="auto"/>
              </w:rPr>
              <w:t>Final</w:t>
            </w:r>
          </w:p>
        </w:tc>
      </w:tr>
      <w:tr>
        <w:trPr>
          <w:trHeight w:val="22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Consideration:</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40"/>
        </w:trPr>
        <w:tc>
          <w:tcPr>
            <w:tcW w:w="9040" w:type="dxa"/>
            <w:vAlign w:val="bottom"/>
          </w:tcPr>
          <w:p>
            <w:pPr>
              <w:ind w:left="20"/>
              <w:spacing w:after="0"/>
              <w:rPr>
                <w:sz w:val="20"/>
                <w:szCs w:val="20"/>
                <w:color w:val="auto"/>
              </w:rPr>
            </w:pPr>
            <w:r>
              <w:rPr>
                <w:rFonts w:ascii="Arial" w:cs="Arial" w:eastAsia="Arial" w:hAnsi="Arial"/>
                <w:sz w:val="18"/>
                <w:szCs w:val="18"/>
                <w:color w:val="auto"/>
              </w:rPr>
              <w:t>Cash paid at closing</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154.4</w:t>
            </w:r>
          </w:p>
        </w:tc>
      </w:tr>
      <w:tr>
        <w:trPr>
          <w:trHeight w:val="24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 adjustment paid to seller</w:t>
            </w: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0"/>
        </w:trPr>
        <w:tc>
          <w:tcPr>
            <w:tcW w:w="9040" w:type="dxa"/>
            <w:vAlign w:val="bottom"/>
            <w:tcBorders>
              <w:bottom w:val="single" w:sz="8" w:color="CCEEFF"/>
            </w:tcBorders>
          </w:tcPr>
          <w:p>
            <w:pPr>
              <w:ind w:left="20"/>
              <w:spacing w:after="0" w:line="240" w:lineRule="exact"/>
              <w:rPr>
                <w:sz w:val="20"/>
                <w:szCs w:val="20"/>
                <w:color w:val="auto"/>
              </w:rPr>
            </w:pPr>
            <w:r>
              <w:rPr>
                <w:rFonts w:ascii="Arial" w:cs="Arial" w:eastAsia="Arial" w:hAnsi="Arial"/>
                <w:sz w:val="18"/>
                <w:szCs w:val="18"/>
                <w:color w:val="auto"/>
              </w:rPr>
              <w:t xml:space="preserve">Amount due to sellers </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59"/>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 of consideration</w:t>
            </w: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9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4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40"/>
        </w:trPr>
        <w:tc>
          <w:tcPr>
            <w:tcW w:w="9040" w:type="dxa"/>
            <w:vAlign w:val="bottom"/>
          </w:tcPr>
          <w:p>
            <w:pPr>
              <w:ind w:left="20"/>
              <w:spacing w:after="0"/>
              <w:rPr>
                <w:sz w:val="20"/>
                <w:szCs w:val="20"/>
                <w:color w:val="auto"/>
              </w:rPr>
            </w:pPr>
            <w:r>
              <w:rPr>
                <w:rFonts w:ascii="Arial" w:cs="Arial" w:eastAsia="Arial" w:hAnsi="Arial"/>
                <w:sz w:val="18"/>
                <w:szCs w:val="18"/>
                <w:color w:val="auto"/>
              </w:rPr>
              <w:t>Cash</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40"/>
        </w:trPr>
        <w:tc>
          <w:tcPr>
            <w:tcW w:w="90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0"/>
        </w:trPr>
        <w:tc>
          <w:tcPr>
            <w:tcW w:w="904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Identifiable intangible assets subject to amortization </w:t>
            </w:r>
            <w:r>
              <w:rPr>
                <w:rFonts w:ascii="Arial" w:cs="Arial" w:eastAsia="Arial" w:hAnsi="Arial"/>
                <w:sz w:val="23"/>
                <w:szCs w:val="23"/>
                <w:color w:val="auto"/>
                <w:vertAlign w:val="superscript"/>
              </w:rPr>
              <w:t>(2)</w:t>
            </w:r>
          </w:p>
        </w:tc>
        <w:tc>
          <w:tcPr>
            <w:tcW w:w="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40"/>
        </w:trPr>
        <w:tc>
          <w:tcPr>
            <w:tcW w:w="904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Identifiable intangible assets not subject to amortization </w:t>
            </w:r>
            <w:r>
              <w:rPr>
                <w:rFonts w:ascii="Arial" w:cs="Arial" w:eastAsia="Arial" w:hAnsi="Arial"/>
                <w:sz w:val="23"/>
                <w:szCs w:val="23"/>
                <w:color w:val="auto"/>
                <w:vertAlign w:val="superscript"/>
              </w:rPr>
              <w:t>(3)</w:t>
            </w:r>
          </w:p>
        </w:tc>
        <w:tc>
          <w:tcPr>
            <w:tcW w:w="5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0"/>
        </w:trPr>
        <w:tc>
          <w:tcPr>
            <w:tcW w:w="90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40"/>
        </w:trPr>
        <w:tc>
          <w:tcPr>
            <w:tcW w:w="904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Other assets and liabilities, net </w:t>
            </w:r>
            <w:r>
              <w:rPr>
                <w:rFonts w:ascii="Arial" w:cs="Arial" w:eastAsia="Arial" w:hAnsi="Arial"/>
                <w:sz w:val="23"/>
                <w:szCs w:val="23"/>
                <w:color w:val="auto"/>
                <w:vertAlign w:val="superscript"/>
              </w:rPr>
              <w:t>(4)</w:t>
            </w:r>
          </w:p>
        </w:tc>
        <w:tc>
          <w:tcPr>
            <w:tcW w:w="5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4"/>
        </w:trPr>
        <w:tc>
          <w:tcPr>
            <w:tcW w:w="9040" w:type="dxa"/>
            <w:vAlign w:val="bottom"/>
          </w:tcPr>
          <w:p>
            <w:pPr>
              <w:ind w:left="20"/>
              <w:spacing w:after="0"/>
              <w:rPr>
                <w:sz w:val="20"/>
                <w:szCs w:val="20"/>
                <w:color w:val="auto"/>
              </w:rPr>
            </w:pPr>
            <w:r>
              <w:rPr>
                <w:rFonts w:ascii="Arial" w:cs="Arial" w:eastAsia="Arial" w:hAnsi="Arial"/>
                <w:sz w:val="18"/>
                <w:szCs w:val="18"/>
                <w:color w:val="auto"/>
              </w:rPr>
              <w:t>Net identifiable assets acquired</w:t>
            </w:r>
          </w:p>
        </w:tc>
        <w:tc>
          <w:tcPr>
            <w:tcW w:w="5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40"/>
        </w:trPr>
        <w:tc>
          <w:tcPr>
            <w:tcW w:w="904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3"/>
                <w:szCs w:val="23"/>
                <w:color w:val="auto"/>
                <w:vertAlign w:val="superscript"/>
              </w:rPr>
              <w:t>(5)</w:t>
            </w:r>
          </w:p>
        </w:tc>
        <w:tc>
          <w:tcPr>
            <w:tcW w:w="50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34"/>
        </w:trPr>
        <w:tc>
          <w:tcPr>
            <w:tcW w:w="904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0"/>
        </w:trPr>
        <w:tc>
          <w:tcPr>
            <w:tcW w:w="9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right="20" w:hanging="313"/>
        <w:spacing w:after="0" w:line="227" w:lineRule="auto"/>
        <w:tabs>
          <w:tab w:leader="none" w:pos="31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Represents expected payments of $15.0 million per year over each of the next four years, discounted to present value at the date of acquisition.</w:t>
      </w:r>
    </w:p>
    <w:p>
      <w:pPr>
        <w:spacing w:after="0" w:line="101"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subject to amortization primarily consist of customer relationships and other identifiable assets which will be amortized over a weighted average life of 18.4 years.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ind w:left="320" w:hanging="313"/>
        <w:spacing w:after="0"/>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Identifiable intangible assets not subject to amortization include trademarks and trade names acquired.</w:t>
      </w:r>
    </w:p>
    <w:p>
      <w:pPr>
        <w:spacing w:after="0" w:line="70" w:lineRule="exact"/>
        <w:rPr>
          <w:rFonts w:ascii="Arial" w:cs="Arial" w:eastAsia="Arial" w:hAnsi="Arial"/>
          <w:sz w:val="23"/>
          <w:szCs w:val="23"/>
          <w:color w:val="auto"/>
          <w:vertAlign w:val="superscript"/>
        </w:rPr>
      </w:pPr>
    </w:p>
    <w:p>
      <w:pPr>
        <w:ind w:left="320" w:hanging="313"/>
        <w:spacing w:after="0" w:line="239" w:lineRule="auto"/>
        <w:tabs>
          <w:tab w:leader="none" w:pos="3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Includes the recognition of right of use assets of $1.3 million and lease liabilities of $1.3 million.</w:t>
      </w:r>
    </w:p>
    <w:p>
      <w:pPr>
        <w:spacing w:after="0" w:line="113" w:lineRule="exact"/>
        <w:rPr>
          <w:rFonts w:ascii="Arial" w:cs="Arial" w:eastAsia="Arial" w:hAnsi="Arial"/>
          <w:sz w:val="23"/>
          <w:szCs w:val="23"/>
          <w:color w:val="auto"/>
          <w:vertAlign w:val="superscript"/>
        </w:rPr>
      </w:pPr>
    </w:p>
    <w:p>
      <w:pPr>
        <w:jc w:val="both"/>
        <w:ind w:left="320" w:hanging="313"/>
        <w:spacing w:after="0" w:line="233" w:lineRule="auto"/>
        <w:tabs>
          <w:tab w:leader="none" w:pos="3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Goodwill is attributable primarily to the expected synergies and other benefits that we believe will result from combining the acquired operations with the operations of our aviation segment. All of the goodwill assigned to the aviation segment was deductible for tax purposes.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unaudited pro forma combined financial information of the Company for the three and nine months ended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as if the acquisition of Universal TSS had been completed on January 1, 2024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tcPr>
          <w:p>
            <w:pPr>
              <w:jc w:val="right"/>
              <w:ind w:right="23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100" w:type="dxa"/>
            <w:vAlign w:val="bottom"/>
          </w:tcPr>
          <w:p>
            <w:pPr>
              <w:ind w:left="120"/>
              <w:spacing w:after="0"/>
              <w:rPr>
                <w:sz w:val="20"/>
                <w:szCs w:val="20"/>
                <w:color w:val="auto"/>
              </w:rPr>
            </w:pPr>
            <w:r>
              <w:rPr>
                <w:rFonts w:ascii="Arial" w:cs="Arial" w:eastAsia="Arial" w:hAnsi="Arial"/>
                <w:sz w:val="18"/>
                <w:szCs w:val="18"/>
                <w:b w:val="1"/>
                <w:bCs w:val="1"/>
                <w:color w:val="auto"/>
              </w:rPr>
              <w:t>Nine Months Ended</w:t>
            </w:r>
          </w:p>
        </w:tc>
      </w:tr>
      <w:tr>
        <w:trPr>
          <w:trHeight w:val="232"/>
        </w:trPr>
        <w:tc>
          <w:tcPr>
            <w:tcW w:w="64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September 30, 2025</w:t>
            </w:r>
          </w:p>
        </w:tc>
        <w:tc>
          <w:tcPr>
            <w:tcW w:w="3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September 30, 2025</w:t>
            </w:r>
          </w:p>
        </w:tc>
      </w:tr>
      <w:tr>
        <w:trPr>
          <w:trHeight w:val="234"/>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9,452.5</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28,069.6</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(327.3)</w:t>
            </w:r>
          </w:p>
        </w:tc>
      </w:tr>
    </w:tbl>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unaudited pro forma combined financial information was based on the historical financial information of Universal TSS and includes (i) incremental amortization expense to be incurred based on the fair values of the identifiable intangible assets acquired; (ii) additional interest expense associated with the incremental borrowings under our Credit Facility (as defined below) to finance the acquisition and the accretion of the discount on the present value of future payments; (iii) nonrecurring transaction costs recognized in connection with the transaction; and (iv) the tax effect of the pro forma adjustments as well as the recognition of income tax expense associated with Universal TSS' historical statements, calculated using statutory tax rates, as Universal TSS was comprised of limited liability companies not subject to federal and state income taxes prior to the acquisition. The unaudited pro forma combined financial information does not necessarily reflect what the combined company's financial condition or results of operations would have been had the transaction and the related financing occurred on the dates indicated. The unaudited pro forma financial information also may not be useful in predicting the future financial condition and results of operations of the combined company following the transaction. In addition, the unaudited pro forma combined financial information does not give effect to any cost savings, operating synergies or revenue synergies that may result from the transaction, or the costs to achieve any such synergies.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Divestitures</w:t>
      </w:r>
    </w:p>
    <w:p>
      <w:pPr>
        <w:spacing w:after="0" w:line="2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9, 2025, we signed and closed on the sale of WFL (UK) Ltd., which represents our U.K. land fuels business (the "Watson Fuels disposal group"), for total proceeds of $42.8 million, of which $23.6 million was collected in cash at closing (the "Watson Fuels sale"). As discussed in Note 5. Fair Value Measurements, during the first quarter of 2025, we recognized an asset impairment charge of $44.5 million with respect to the Watson Fuels asset group assets. The Watson Fuels sale resulted in a pre-tax loss of $81.7 million, net of costs to sell and after the reclassification of cumulative translation losses of $55.1 million, that is included in Other income (expense), net within our Condensed Consolidated Statements of Income and Comprehensive Income for the second quarter of 2025. The related tax benefit of $6.3 million is included within Income tax expense (benefit) within our Condensed Consolidated Statements of Income and Comprehensive Income. Prior to the Watson Fuels sale, the Watson Fuels asset group was reported within our land segment. The Watson Fuels sale did not meet the criteria to be reported as a discontinued operation.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Credit Losses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When we extend credit on an unsecured basis, our exposure to credit losses depends on the financial condition of our customers and macroeconomic factors beyond our control, such as global economic conditions or adverse impacts in the industries we serve, changes in energy prices and political instability. We actively monitor and manage our credit exposure and work to respond to both changes in our customers' financial conditions and macroeconomic events. Based on the ongoing credit evaluations of our customers, we adjust credit limits based upon payment history and our customers' current creditworthiness. However, because we extend credit on an unsecured basis to most of our customers, there is a possibility that any accounts receivable not collected may ultimately need to be written off.</w:t>
      </w:r>
    </w:p>
    <w:p>
      <w:pPr>
        <w:spacing w:after="0" w:line="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had an allowance for expected credit losses of $ 74.1 million and $16.6 million as of September 30, 2026 and December 31, 2025, respectively. Our allowance for expected credit losses is typically related primarily to accounts receivable. As of September 30, 2026, our allowance for expected credit losses also includes an allowance for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expected credit losses associated with a note receivable from one of our equity method investees. Changes to the expected credit loss provision during the nine months ended September 30, 2026 resulted from the Company's assessment of reasonable and supportable forward-looking information. These changes were driven by the deteriorating financial condition of certain aviation and marine segment customers, including a marine segment customer which filed for creditor protection during the second quarter of 2026 and is currently operating under court supervision, as well as the impact of exiting certain activities as described in Note 14. Restructuring and Exit Activities. Based on an aging analysis as of September 30, 2026, 97% of our accounts receivable were outstanding less than 60 days.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activities in our allowance for expected credit losses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4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Nine Months Ended September 30,</w:t>
            </w:r>
          </w:p>
        </w:tc>
        <w:tc>
          <w:tcPr>
            <w:tcW w:w="480" w:type="dxa"/>
            <w:vAlign w:val="bottom"/>
            <w:tcBorders>
              <w:bottom w:val="single" w:sz="8" w:color="auto"/>
            </w:tcBorders>
          </w:tcPr>
          <w:p>
            <w:pPr>
              <w:spacing w:after="0"/>
              <w:rPr>
                <w:sz w:val="20"/>
                <w:szCs w:val="20"/>
                <w:color w:val="auto"/>
              </w:rPr>
            </w:pPr>
          </w:p>
        </w:tc>
      </w:tr>
      <w:tr>
        <w:trPr>
          <w:trHeight w:val="234"/>
        </w:trPr>
        <w:tc>
          <w:tcPr>
            <w:tcW w:w="65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2026</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r>
      <w:tr>
        <w:trPr>
          <w:trHeight w:val="23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1580" w:type="dxa"/>
            <w:vAlign w:val="bottom"/>
            <w:shd w:val="clear" w:color="auto" w:fill="CCEEFF"/>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591"/>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40"/>
        </w:trPr>
        <w:tc>
          <w:tcPr>
            <w:tcW w:w="6580" w:type="dxa"/>
            <w:vAlign w:val="bottom"/>
          </w:tcPr>
          <w:p>
            <w:pPr>
              <w:ind w:left="20"/>
              <w:spacing w:after="0"/>
              <w:rPr>
                <w:sz w:val="20"/>
                <w:szCs w:val="20"/>
                <w:color w:val="auto"/>
              </w:rPr>
            </w:pPr>
            <w:r>
              <w:rPr>
                <w:rFonts w:ascii="Arial" w:cs="Arial" w:eastAsia="Arial" w:hAnsi="Arial"/>
                <w:sz w:val="18"/>
                <w:szCs w:val="18"/>
                <w:color w:val="auto"/>
              </w:rPr>
              <w:t>Charges to allowance for credit losses</w:t>
            </w:r>
          </w:p>
        </w:tc>
        <w:tc>
          <w:tcPr>
            <w:tcW w:w="1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uncollectible receivables</w:t>
            </w:r>
          </w:p>
        </w:tc>
        <w:tc>
          <w:tcPr>
            <w:tcW w:w="15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0"/>
        </w:trPr>
        <w:tc>
          <w:tcPr>
            <w:tcW w:w="6580" w:type="dxa"/>
            <w:vAlign w:val="bottom"/>
          </w:tcPr>
          <w:p>
            <w:pPr>
              <w:ind w:left="20"/>
              <w:spacing w:after="0"/>
              <w:rPr>
                <w:sz w:val="20"/>
                <w:szCs w:val="20"/>
                <w:color w:val="auto"/>
              </w:rPr>
            </w:pPr>
            <w:r>
              <w:rPr>
                <w:rFonts w:ascii="Arial" w:cs="Arial" w:eastAsia="Arial" w:hAnsi="Arial"/>
                <w:sz w:val="18"/>
                <w:szCs w:val="18"/>
                <w:color w:val="auto"/>
              </w:rPr>
              <w:t>Recoveries of credit losses</w:t>
            </w:r>
          </w:p>
        </w:tc>
        <w:tc>
          <w:tcPr>
            <w:tcW w:w="15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adjustments</w:t>
            </w:r>
          </w:p>
        </w:tc>
        <w:tc>
          <w:tcPr>
            <w:tcW w:w="15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4"/>
        </w:trPr>
        <w:tc>
          <w:tcPr>
            <w:tcW w:w="6580" w:type="dxa"/>
            <w:vAlign w:val="bottom"/>
          </w:tcPr>
          <w:p>
            <w:pPr>
              <w:ind w:left="20"/>
              <w:spacing w:after="0"/>
              <w:rPr>
                <w:sz w:val="20"/>
                <w:szCs w:val="20"/>
                <w:color w:val="auto"/>
              </w:rPr>
            </w:pPr>
            <w:r>
              <w:rPr>
                <w:rFonts w:ascii="Arial" w:cs="Arial" w:eastAsia="Arial" w:hAnsi="Arial"/>
                <w:sz w:val="18"/>
                <w:szCs w:val="18"/>
                <w:color w:val="auto"/>
              </w:rPr>
              <w:t>Balance as of September 30,</w:t>
            </w:r>
          </w:p>
        </w:tc>
        <w:tc>
          <w:tcPr>
            <w:tcW w:w="1580" w:type="dxa"/>
            <w:vAlign w:val="bottom"/>
            <w:tcBorders>
              <w:bottom w:val="single" w:sz="8" w:color="auto"/>
            </w:tcBorders>
          </w:tcPr>
          <w:p>
            <w:pPr>
              <w:jc w:val="right"/>
              <w:ind w:right="139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20"/>
                <w:szCs w:val="20"/>
                <w:color w:val="auto"/>
              </w:rPr>
            </w:pPr>
          </w:p>
        </w:tc>
        <w:tc>
          <w:tcPr>
            <w:tcW w:w="1780" w:type="dxa"/>
            <w:vAlign w:val="bottom"/>
            <w:tcBorders>
              <w:bottom w:val="single" w:sz="8" w:color="auto"/>
            </w:tcBorders>
          </w:tcPr>
          <w:p>
            <w:pPr>
              <w:jc w:val="right"/>
              <w:ind w:right="1591"/>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65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receivable purchase agreements ("RPAs") that allow for the sale of our qualifying accounts receivable in exchange for cash consideration equal to the total balance, less a discount margin, depending on the outstanding accounts receivable at any given time. Accounts receivable sold under the RPAs are accounted for as sales and excluded from Accounts receivable, net of allowance for credit losses on the accompanying Condensed Consolidated Balance Sheets. Fees paid under the RPAs are recorded within Interest expense and other financing costs, net on the Condensed Consolidated Statements of Income and Comprehensive Income. During the second quarter of 2026, we amended one of our RPAs to increase the facility size.</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2026 and 2025, we sold receivables under the RPAs with an aggregate face value of $10.5 billion and $8.5 billion and recognized fees of $23.9 million and $24.4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exposed to a variety of risks, including, but not limited to, changes in the prices of commodities that we buy or sell, changes in foreign currency exchange rates, changes in interest rates, and the creditworthiness of each of our counterparties. While we attempt to mitigate these fluctuations through hedging, such hedges may not be fully effective.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Our risk management program includes the following types of derivative instruments: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Derivative contracts we hold to hedge the risk of changes in the price of our inventory.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Flow Hedges. </w:t>
      </w:r>
      <w:r>
        <w:rPr>
          <w:rFonts w:ascii="Arial" w:cs="Arial" w:eastAsia="Arial" w:hAnsi="Arial"/>
          <w:sz w:val="18"/>
          <w:szCs w:val="18"/>
          <w:color w:val="auto"/>
        </w:rPr>
        <w:t>Derivative contracts we execute to mitigate the risk of price and interest rate volatility in forecasted transactions.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Derivatives we primarily transact to mitigate the risk of market price fluctuations in swaps or futures contracts,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certain forward fixed price purchase and sale contracts to hedge the risk of currency rate fluctuations and for portfolio optimization.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summarizes the gross notional values of our derivative contracts used for risk management purposes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160" w:type="dxa"/>
            <w:vAlign w:val="bottom"/>
          </w:tcPr>
          <w:p>
            <w:pPr>
              <w:spacing w:after="0"/>
              <w:rPr>
                <w:sz w:val="20"/>
                <w:szCs w:val="20"/>
                <w:color w:val="auto"/>
              </w:rPr>
            </w:pPr>
          </w:p>
        </w:tc>
        <w:tc>
          <w:tcPr>
            <w:tcW w:w="1900" w:type="dxa"/>
            <w:vAlign w:val="bottom"/>
            <w:gridSpan w:val="2"/>
          </w:tcPr>
          <w:p>
            <w:pPr>
              <w:ind w:left="700"/>
              <w:spacing w:after="0"/>
              <w:rPr>
                <w:sz w:val="20"/>
                <w:szCs w:val="20"/>
                <w:color w:val="auto"/>
              </w:rPr>
            </w:pPr>
            <w:r>
              <w:rPr>
                <w:rFonts w:ascii="Arial" w:cs="Arial" w:eastAsia="Arial" w:hAnsi="Arial"/>
                <w:sz w:val="18"/>
                <w:szCs w:val="18"/>
                <w:b w:val="1"/>
                <w:bCs w:val="1"/>
                <w:color w:val="333333"/>
              </w:rPr>
              <w:t>Unit</w:t>
            </w:r>
          </w:p>
        </w:tc>
        <w:tc>
          <w:tcPr>
            <w:tcW w:w="2180" w:type="dxa"/>
            <w:vAlign w:val="bottom"/>
          </w:tcPr>
          <w:p>
            <w:pPr>
              <w:jc w:val="right"/>
              <w:ind w:right="171"/>
              <w:spacing w:after="0"/>
              <w:rPr>
                <w:sz w:val="20"/>
                <w:szCs w:val="20"/>
                <w:color w:val="auto"/>
              </w:rPr>
            </w:pPr>
            <w:r>
              <w:rPr>
                <w:rFonts w:ascii="Arial" w:cs="Arial" w:eastAsia="Arial" w:hAnsi="Arial"/>
                <w:sz w:val="18"/>
                <w:szCs w:val="18"/>
                <w:b w:val="1"/>
                <w:bCs w:val="1"/>
                <w:color w:val="auto"/>
              </w:rPr>
              <w:t>September 30, 2026</w:t>
            </w:r>
          </w:p>
        </w:tc>
      </w:tr>
      <w:tr>
        <w:trPr>
          <w:trHeight w:val="220"/>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17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spacing w:after="0"/>
              <w:rPr>
                <w:sz w:val="19"/>
                <w:szCs w:val="19"/>
                <w:color w:val="auto"/>
              </w:rPr>
            </w:pPr>
          </w:p>
        </w:tc>
      </w:tr>
      <w:tr>
        <w:trPr>
          <w:trHeight w:val="240"/>
        </w:trPr>
        <w:tc>
          <w:tcPr>
            <w:tcW w:w="7160" w:type="dxa"/>
            <w:vAlign w:val="bottom"/>
          </w:tcPr>
          <w:p>
            <w:pPr>
              <w:ind w:left="20"/>
              <w:spacing w:after="0"/>
              <w:rPr>
                <w:sz w:val="20"/>
                <w:szCs w:val="20"/>
                <w:color w:val="auto"/>
              </w:rPr>
            </w:pPr>
            <w:r>
              <w:rPr>
                <w:rFonts w:ascii="Arial" w:cs="Arial" w:eastAsia="Arial" w:hAnsi="Arial"/>
                <w:sz w:val="18"/>
                <w:szCs w:val="18"/>
                <w:color w:val="auto"/>
              </w:rPr>
              <w:t>Long</w:t>
            </w:r>
          </w:p>
        </w:tc>
        <w:tc>
          <w:tcPr>
            <w:tcW w:w="1900" w:type="dxa"/>
            <w:vAlign w:val="bottom"/>
            <w:gridSpan w:val="2"/>
          </w:tcPr>
          <w:p>
            <w:pPr>
              <w:ind w:left="720"/>
              <w:spacing w:after="0"/>
              <w:rPr>
                <w:sz w:val="20"/>
                <w:szCs w:val="20"/>
                <w:color w:val="auto"/>
              </w:rPr>
            </w:pPr>
            <w:r>
              <w:rPr>
                <w:rFonts w:ascii="Arial" w:cs="Arial" w:eastAsia="Arial" w:hAnsi="Arial"/>
                <w:sz w:val="18"/>
                <w:szCs w:val="18"/>
                <w:color w:val="auto"/>
              </w:rPr>
              <w:t>BBL</w:t>
            </w:r>
          </w:p>
        </w:tc>
        <w:tc>
          <w:tcPr>
            <w:tcW w:w="218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4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w:t>
            </w:r>
          </w:p>
        </w:tc>
        <w:tc>
          <w:tcPr>
            <w:tcW w:w="1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BBL</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67"/>
        </w:trPr>
        <w:tc>
          <w:tcPr>
            <w:tcW w:w="7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24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 currency exchange contracts</w:t>
            </w:r>
          </w:p>
        </w:tc>
        <w:tc>
          <w:tcPr>
            <w:tcW w:w="1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r>
      <w:tr>
        <w:trPr>
          <w:trHeight w:val="240"/>
        </w:trPr>
        <w:tc>
          <w:tcPr>
            <w:tcW w:w="7160" w:type="dxa"/>
            <w:vAlign w:val="bottom"/>
          </w:tcPr>
          <w:p>
            <w:pPr>
              <w:ind w:left="20"/>
              <w:spacing w:after="0"/>
              <w:rPr>
                <w:sz w:val="20"/>
                <w:szCs w:val="20"/>
                <w:color w:val="auto"/>
              </w:rPr>
            </w:pPr>
            <w:r>
              <w:rPr>
                <w:rFonts w:ascii="Arial" w:cs="Arial" w:eastAsia="Arial" w:hAnsi="Arial"/>
                <w:sz w:val="18"/>
                <w:szCs w:val="18"/>
                <w:color w:val="auto"/>
              </w:rPr>
              <w:t>Sell U.S. dollar, buy other currencies</w:t>
            </w:r>
          </w:p>
        </w:tc>
        <w:tc>
          <w:tcPr>
            <w:tcW w:w="1900" w:type="dxa"/>
            <w:vAlign w:val="bottom"/>
            <w:gridSpan w:val="2"/>
          </w:tcPr>
          <w:p>
            <w:pPr>
              <w:ind w:left="700"/>
              <w:spacing w:after="0"/>
              <w:rPr>
                <w:sz w:val="20"/>
                <w:szCs w:val="20"/>
                <w:color w:val="auto"/>
              </w:rPr>
            </w:pPr>
            <w:r>
              <w:rPr>
                <w:rFonts w:ascii="Arial" w:cs="Arial" w:eastAsia="Arial" w:hAnsi="Arial"/>
                <w:sz w:val="18"/>
                <w:szCs w:val="18"/>
                <w:color w:val="auto"/>
              </w:rPr>
              <w:t>USD</w:t>
            </w:r>
          </w:p>
        </w:tc>
        <w:tc>
          <w:tcPr>
            <w:tcW w:w="2180" w:type="dxa"/>
            <w:vAlign w:val="bottom"/>
          </w:tcPr>
          <w:p>
            <w:pPr>
              <w:jc w:val="right"/>
              <w:spacing w:after="0"/>
              <w:rPr>
                <w:sz w:val="20"/>
                <w:szCs w:val="20"/>
                <w:color w:val="auto"/>
              </w:rPr>
            </w:pPr>
            <w:r>
              <w:rPr>
                <w:rFonts w:ascii="Arial" w:cs="Arial" w:eastAsia="Arial" w:hAnsi="Arial"/>
                <w:sz w:val="18"/>
                <w:szCs w:val="18"/>
                <w:color w:val="auto"/>
              </w:rPr>
              <w:t>(867.1)</w:t>
            </w:r>
          </w:p>
        </w:tc>
      </w:tr>
      <w:tr>
        <w:trPr>
          <w:trHeight w:val="24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Buy U.S. dollar, sell other currencies</w:t>
            </w:r>
          </w:p>
        </w:tc>
        <w:tc>
          <w:tcPr>
            <w:tcW w:w="1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USD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806.1</w:t>
            </w: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majority of our foreign currency exchange contracts and the volume related to our commodities contracts are expected to settle within the next twelve months.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the gross fair value of our derivative instruments and their locations on the Condensed Consolidated Balance Sheets (in millions):</w:t>
      </w:r>
    </w:p>
    <w:p>
      <w:pPr>
        <w:spacing w:after="0" w:line="172"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Gross Derivative Assets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Gross Derivative Liabilities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33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Condensed Consolidated Balance Sheets</w:t>
            </w:r>
          </w:p>
        </w:tc>
        <w:tc>
          <w:tcPr>
            <w:tcW w:w="12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2025</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187"/>
        </w:trPr>
        <w:tc>
          <w:tcPr>
            <w:tcW w:w="1980" w:type="dxa"/>
            <w:vAlign w:val="bottom"/>
            <w:tcBorders>
              <w:bottom w:val="single" w:sz="8" w:color="auto"/>
            </w:tcBorders>
            <w:vMerge w:val="continue"/>
          </w:tcPr>
          <w:p>
            <w:pPr>
              <w:spacing w:after="0"/>
              <w:rPr>
                <w:sz w:val="16"/>
                <w:szCs w:val="16"/>
                <w:color w:val="auto"/>
              </w:rPr>
            </w:pPr>
          </w:p>
        </w:tc>
        <w:tc>
          <w:tcPr>
            <w:tcW w:w="3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40" w:type="dxa"/>
            <w:vAlign w:val="bottom"/>
            <w:gridSpan w:val="2"/>
          </w:tcPr>
          <w:p>
            <w:pPr>
              <w:ind w:left="26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19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293.8</w:t>
            </w:r>
          </w:p>
        </w:tc>
        <w:tc>
          <w:tcPr>
            <w:tcW w:w="14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285.6</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48"/>
        </w:trPr>
        <w:tc>
          <w:tcPr>
            <w:tcW w:w="198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320" w:type="dxa"/>
            <w:vAlign w:val="bottom"/>
            <w:gridSpan w:val="3"/>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derivative assets,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40" w:type="dxa"/>
            <w:vAlign w:val="bottom"/>
            <w:gridSpan w:val="2"/>
          </w:tcPr>
          <w:p>
            <w:pPr>
              <w:ind w:left="260"/>
              <w:spacing w:after="0"/>
              <w:rPr>
                <w:sz w:val="20"/>
                <w:szCs w:val="20"/>
                <w:color w:val="auto"/>
              </w:rPr>
            </w:pPr>
            <w:r>
              <w:rPr>
                <w:rFonts w:ascii="Arial" w:cs="Arial" w:eastAsia="Arial" w:hAnsi="Arial"/>
                <w:sz w:val="14"/>
                <w:szCs w:val="14"/>
                <w:color w:val="auto"/>
              </w:rPr>
              <w:t>Other non-current assets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217"/>
        </w:trPr>
        <w:tc>
          <w:tcPr>
            <w:tcW w:w="19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40" w:type="dxa"/>
            <w:vAlign w:val="bottom"/>
            <w:gridSpan w:val="2"/>
          </w:tcPr>
          <w:p>
            <w:pPr>
              <w:ind w:left="26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71"/>
        </w:trPr>
        <w:tc>
          <w:tcPr>
            <w:tcW w:w="1980" w:type="dxa"/>
            <w:vAlign w:val="bottom"/>
            <w:shd w:val="clear" w:color="auto" w:fill="CCEEFF"/>
          </w:tcPr>
          <w:p>
            <w:pPr>
              <w:spacing w:after="0"/>
              <w:rPr>
                <w:sz w:val="23"/>
                <w:szCs w:val="23"/>
                <w:color w:val="auto"/>
              </w:rPr>
            </w:pPr>
          </w:p>
        </w:tc>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98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3340" w:type="dxa"/>
            <w:vAlign w:val="bottom"/>
            <w:gridSpan w:val="2"/>
          </w:tcPr>
          <w:p>
            <w:pPr>
              <w:ind w:left="260"/>
              <w:spacing w:after="0"/>
              <w:rPr>
                <w:sz w:val="20"/>
                <w:szCs w:val="20"/>
                <w:color w:val="auto"/>
              </w:rPr>
            </w:pPr>
            <w:r>
              <w:rPr>
                <w:rFonts w:ascii="Arial" w:cs="Arial" w:eastAsia="Arial" w:hAnsi="Arial"/>
                <w:sz w:val="14"/>
                <w:szCs w:val="14"/>
                <w:color w:val="auto"/>
              </w:rPr>
              <w:t>Short-term derivative assets, net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7"/>
        </w:trPr>
        <w:tc>
          <w:tcPr>
            <w:tcW w:w="198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Short-term derivative liabilities, net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3340" w:type="dxa"/>
            <w:vAlign w:val="bottom"/>
            <w:gridSpan w:val="2"/>
          </w:tcPr>
          <w:p>
            <w:pPr>
              <w:ind w:left="260"/>
              <w:spacing w:after="0"/>
              <w:rPr>
                <w:sz w:val="20"/>
                <w:szCs w:val="20"/>
                <w:color w:val="auto"/>
              </w:rPr>
            </w:pPr>
            <w:r>
              <w:rPr>
                <w:rFonts w:ascii="Arial" w:cs="Arial" w:eastAsia="Arial" w:hAnsi="Arial"/>
                <w:sz w:val="14"/>
                <w:szCs w:val="14"/>
                <w:color w:val="auto"/>
              </w:rPr>
              <w:t>Other long-term liabilities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242.0</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272.4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209.8</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208"/>
        </w:trPr>
        <w:tc>
          <w:tcPr>
            <w:tcW w:w="1980" w:type="dxa"/>
            <w:vAlign w:val="bottom"/>
          </w:tcPr>
          <w:p>
            <w:pPr>
              <w:ind w:left="20"/>
              <w:spacing w:after="0"/>
              <w:rPr>
                <w:sz w:val="20"/>
                <w:szCs w:val="20"/>
                <w:color w:val="auto"/>
              </w:rPr>
            </w:pPr>
            <w:r>
              <w:rPr>
                <w:rFonts w:ascii="Arial" w:cs="Arial" w:eastAsia="Arial" w:hAnsi="Arial"/>
                <w:sz w:val="14"/>
                <w:szCs w:val="14"/>
                <w:b w:val="1"/>
                <w:bCs w:val="1"/>
                <w:color w:val="auto"/>
              </w:rPr>
              <w:t>Total derivatives</w:t>
            </w:r>
          </w:p>
        </w:tc>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w:t>
            </w:r>
          </w:p>
        </w:tc>
        <w:tc>
          <w:tcPr>
            <w:tcW w:w="140" w:type="dxa"/>
            <w:vAlign w:val="bottom"/>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291.3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495.4</w:t>
            </w:r>
          </w:p>
        </w:tc>
        <w:tc>
          <w:tcPr>
            <w:tcW w:w="140" w:type="dxa"/>
            <w:vAlign w:val="bottom"/>
          </w:tcPr>
          <w:p>
            <w:pPr>
              <w:spacing w:after="0"/>
              <w:rPr>
                <w:sz w:val="18"/>
                <w:szCs w:val="18"/>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our derivative instruments measured at fair value after netting and collateral, see Note 5. Fair Value Measurements.</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were recorded on our Condensed Consolidated Balance Sheets related to cumulative basis adjustments for fair value hedges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Line item in the Condensed Consolidated Balance</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Cumulative Amount of Fair Value Hedging</w:t>
            </w:r>
          </w:p>
        </w:tc>
        <w:tc>
          <w:tcPr>
            <w:tcW w:w="0" w:type="dxa"/>
            <w:vAlign w:val="bottom"/>
          </w:tcPr>
          <w:p>
            <w:pPr>
              <w:spacing w:after="0"/>
              <w:rPr>
                <w:sz w:val="1"/>
                <w:szCs w:val="1"/>
                <w:color w:val="auto"/>
              </w:rPr>
            </w:pPr>
          </w:p>
        </w:tc>
      </w:tr>
      <w:tr>
        <w:trPr>
          <w:trHeight w:val="147"/>
        </w:trPr>
        <w:tc>
          <w:tcPr>
            <w:tcW w:w="3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5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Carrying Amount of Hedged Assets/(Liabilities)</w:t>
            </w:r>
          </w:p>
        </w:tc>
        <w:tc>
          <w:tcPr>
            <w:tcW w:w="120" w:type="dxa"/>
            <w:vAlign w:val="bottom"/>
            <w:vMerge w:val="restart"/>
          </w:tcPr>
          <w:p>
            <w:pPr>
              <w:spacing w:after="0"/>
              <w:rPr>
                <w:sz w:val="12"/>
                <w:szCs w:val="12"/>
                <w:color w:val="auto"/>
              </w:rPr>
            </w:pPr>
          </w:p>
        </w:tc>
        <w:tc>
          <w:tcPr>
            <w:tcW w:w="3660" w:type="dxa"/>
            <w:vAlign w:val="bottom"/>
            <w:gridSpan w:val="5"/>
          </w:tcPr>
          <w:p>
            <w:pPr>
              <w:jc w:val="center"/>
              <w:spacing w:after="0" w:line="147" w:lineRule="exact"/>
              <w:rPr>
                <w:sz w:val="20"/>
                <w:szCs w:val="20"/>
                <w:color w:val="auto"/>
              </w:rPr>
            </w:pPr>
            <w:r>
              <w:rPr>
                <w:rFonts w:ascii="Arial" w:cs="Arial" w:eastAsia="Arial" w:hAnsi="Arial"/>
                <w:sz w:val="14"/>
                <w:szCs w:val="14"/>
                <w:b w:val="1"/>
                <w:bCs w:val="1"/>
                <w:color w:val="auto"/>
              </w:rPr>
              <w:t>Adjustment Included in the Carrying Amount of the</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Sheets in which the hedged item is included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Hedged Asset/(Liabilities)</w:t>
            </w:r>
          </w:p>
        </w:tc>
        <w:tc>
          <w:tcPr>
            <w:tcW w:w="0" w:type="dxa"/>
            <w:vAlign w:val="bottom"/>
          </w:tcPr>
          <w:p>
            <w:pPr>
              <w:spacing w:after="0"/>
              <w:rPr>
                <w:sz w:val="1"/>
                <w:szCs w:val="1"/>
                <w:color w:val="auto"/>
              </w:rPr>
            </w:pPr>
          </w:p>
        </w:tc>
      </w:tr>
      <w:tr>
        <w:trPr>
          <w:trHeight w:val="206"/>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2026</w:t>
            </w:r>
          </w:p>
        </w:tc>
        <w:tc>
          <w:tcPr>
            <w:tcW w:w="16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7"/>
                <w:szCs w:val="17"/>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2026</w:t>
            </w:r>
          </w:p>
        </w:tc>
        <w:tc>
          <w:tcPr>
            <w:tcW w:w="180" w:type="dxa"/>
            <w:vAlign w:val="bottom"/>
          </w:tcPr>
          <w:p>
            <w:pPr>
              <w:spacing w:after="0"/>
              <w:rPr>
                <w:sz w:val="17"/>
                <w:szCs w:val="17"/>
                <w:color w:val="auto"/>
              </w:rPr>
            </w:pPr>
          </w:p>
        </w:tc>
        <w:tc>
          <w:tcPr>
            <w:tcW w:w="1580" w:type="dxa"/>
            <w:vAlign w:val="bottom"/>
          </w:tcPr>
          <w:p>
            <w:pPr>
              <w:jc w:val="right"/>
              <w:ind w:right="160"/>
              <w:spacing w:after="0"/>
              <w:rPr>
                <w:sz w:val="20"/>
                <w:szCs w:val="20"/>
                <w:color w:val="auto"/>
              </w:rPr>
            </w:pPr>
            <w:r>
              <w:rPr>
                <w:rFonts w:ascii="Arial" w:cs="Arial" w:eastAsia="Arial" w:hAnsi="Arial"/>
                <w:sz w:val="14"/>
                <w:szCs w:val="14"/>
                <w:b w:val="1"/>
                <w:bCs w:val="1"/>
                <w:color w:val="auto"/>
              </w:rPr>
              <w:t>December 31, 2025</w:t>
            </w:r>
          </w:p>
        </w:tc>
        <w:tc>
          <w:tcPr>
            <w:tcW w:w="0" w:type="dxa"/>
            <w:vAlign w:val="bottom"/>
          </w:tcPr>
          <w:p>
            <w:pPr>
              <w:spacing w:after="0"/>
              <w:rPr>
                <w:sz w:val="1"/>
                <w:szCs w:val="1"/>
                <w:color w:val="auto"/>
              </w:rPr>
            </w:pPr>
          </w:p>
        </w:tc>
      </w:tr>
      <w:tr>
        <w:trPr>
          <w:trHeight w:val="234"/>
        </w:trPr>
        <w:tc>
          <w:tcPr>
            <w:tcW w:w="3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58.4</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Earnings and Other Comprehensive Income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Designated as Hedging Instruments</w:t>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on a pre-tax basis, the location and amount of gains (losses) on fair value and cash flow hedges recognized in net income (loss) in our Condensed Consolidated Statements of Income and Comprehensive Income (in millions):</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line="258"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Gains (losses) on fair value hedge relationships:</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Hedged item</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Derivatives designated as hedging instruments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cash flow hedge relationships:</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52"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rate contracts:</w:t>
      </w:r>
    </w:p>
    <w:p>
      <w:pPr>
        <w:spacing w:after="0" w:line="52"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spacing w:after="0" w:line="1" w:lineRule="exact"/>
        <w:rPr>
          <w:sz w:val="20"/>
          <w:szCs w:val="20"/>
          <w:color w:val="auto"/>
        </w:rPr>
      </w:pPr>
    </w:p>
    <w:p>
      <w:pPr>
        <w:ind w:left="20" w:right="220"/>
        <w:spacing w:after="0" w:line="260" w:lineRule="auto"/>
        <w:rPr>
          <w:sz w:val="20"/>
          <w:szCs w:val="20"/>
          <w:color w:val="auto"/>
        </w:rPr>
      </w:pPr>
      <w:r>
        <w:rPr>
          <w:rFonts w:ascii="Arial" w:cs="Arial" w:eastAsia="Arial" w:hAnsi="Arial"/>
          <w:sz w:val="14"/>
          <w:szCs w:val="14"/>
          <w:color w:val="auto"/>
        </w:rPr>
        <w:t>Total amount of income and expense line items excluding the impact of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line="258" w:lineRule="auto"/>
        <w:rPr>
          <w:sz w:val="20"/>
          <w:szCs w:val="20"/>
          <w:color w:val="auto"/>
        </w:rPr>
      </w:pPr>
      <w:r>
        <w:rPr>
          <w:rFonts w:ascii="Arial" w:cs="Arial" w:eastAsia="Arial" w:hAnsi="Arial"/>
          <w:sz w:val="14"/>
          <w:szCs w:val="14"/>
          <w:color w:val="auto"/>
        </w:rPr>
        <w:t>Total amounts of income and expense line items in which the effects of fair value or cash flow hedged are recorded</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fair value hedge relationships:</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Commodity contracts:</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Hedged item</w:t>
      </w:r>
    </w:p>
    <w:p>
      <w:pPr>
        <w:spacing w:after="0" w:line="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Derivatives designated as hedging instruments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Gains (losses) on cash flow hedge relationships:</w:t>
      </w:r>
    </w:p>
    <w:p>
      <w:pPr>
        <w:spacing w:after="0" w:line="5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Commodity contracts:</w:t>
      </w:r>
    </w:p>
    <w:p>
      <w:pPr>
        <w:spacing w:after="0" w:line="52"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Interest rate contracts:</w:t>
      </w:r>
    </w:p>
    <w:p>
      <w:pPr>
        <w:spacing w:after="0" w:line="52" w:lineRule="exact"/>
        <w:rPr>
          <w:sz w:val="20"/>
          <w:szCs w:val="20"/>
          <w:color w:val="auto"/>
        </w:rPr>
      </w:pPr>
    </w:p>
    <w:p>
      <w:pPr>
        <w:ind w:left="460" w:right="100"/>
        <w:spacing w:after="0" w:line="258" w:lineRule="auto"/>
        <w:rPr>
          <w:sz w:val="20"/>
          <w:szCs w:val="20"/>
          <w:color w:val="auto"/>
        </w:rPr>
      </w:pPr>
      <w:r>
        <w:rPr>
          <w:rFonts w:ascii="Arial" w:cs="Arial" w:eastAsia="Arial" w:hAnsi="Arial"/>
          <w:sz w:val="14"/>
          <w:szCs w:val="14"/>
          <w:color w:val="auto"/>
        </w:rPr>
        <w:t>Amount of gain (loss) reclassified from Accumulated other comprehensive income (loss) into net income</w:t>
      </w:r>
    </w:p>
    <w:p>
      <w:pPr>
        <w:spacing w:after="0" w:line="1" w:lineRule="exact"/>
        <w:rPr>
          <w:sz w:val="20"/>
          <w:szCs w:val="20"/>
          <w:color w:val="auto"/>
        </w:rPr>
      </w:pPr>
    </w:p>
    <w:p>
      <w:pPr>
        <w:ind w:left="20" w:right="220"/>
        <w:spacing w:after="0" w:line="260" w:lineRule="auto"/>
        <w:rPr>
          <w:sz w:val="20"/>
          <w:szCs w:val="20"/>
          <w:color w:val="auto"/>
        </w:rPr>
      </w:pPr>
      <w:r>
        <w:rPr>
          <w:rFonts w:ascii="Arial" w:cs="Arial" w:eastAsia="Arial" w:hAnsi="Arial"/>
          <w:sz w:val="14"/>
          <w:szCs w:val="14"/>
          <w:color w:val="auto"/>
        </w:rPr>
        <w:t>Total amount of income and expense line items excluding the impact of hedges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459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049"/>
              <w:spacing w:after="0"/>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029"/>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2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13,270.7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12,982.6</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9,391.8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9,142.2</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640"/>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74"/>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7"/>
        </w:trPr>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13,299.6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12,999.4</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30.8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9,393.8</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9,137.5</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4"/>
        </w:trPr>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-1846580</wp:posOffset>
            </wp:positionV>
            <wp:extent cx="7134225" cy="2203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22034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-1490345</wp:posOffset>
            </wp:positionV>
            <wp:extent cx="7134225" cy="135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-1219200</wp:posOffset>
            </wp:positionV>
            <wp:extent cx="7134225" cy="135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-948055</wp:posOffset>
            </wp:positionV>
            <wp:extent cx="7134225" cy="135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-592455</wp:posOffset>
            </wp:positionV>
            <wp:extent cx="7134225" cy="135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-236855</wp:posOffset>
            </wp:positionV>
            <wp:extent cx="7134225" cy="2203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For the 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459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92320"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049"/>
              <w:spacing w:after="0"/>
              <w:rPr>
                <w:sz w:val="20"/>
                <w:szCs w:val="20"/>
                <w:color w:val="auto"/>
              </w:rPr>
            </w:pPr>
            <w:r>
              <w:rPr>
                <w:rFonts w:ascii="Arial" w:cs="Arial" w:eastAsia="Arial" w:hAnsi="Arial"/>
                <w:sz w:val="14"/>
                <w:szCs w:val="14"/>
                <w:b w:val="1"/>
                <w:bCs w:val="1"/>
                <w:color w:val="auto"/>
              </w:rPr>
              <w:t>September 30, 2026</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029"/>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rPr>
              <w:t>Interest expense</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Interest expense</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2"/>
                <w:szCs w:val="12"/>
                <w:color w:val="auto"/>
              </w:rPr>
            </w:pPr>
          </w:p>
        </w:tc>
        <w:tc>
          <w:tcPr>
            <w:tcW w:w="1200" w:type="dxa"/>
            <w:vAlign w:val="bottom"/>
          </w:tcPr>
          <w:p>
            <w:pPr>
              <w:jc w:val="center"/>
              <w:ind w:right="29"/>
              <w:spacing w:after="0" w:line="143" w:lineRule="exact"/>
              <w:rPr>
                <w:sz w:val="20"/>
                <w:szCs w:val="20"/>
                <w:color w:val="auto"/>
              </w:rPr>
            </w:pPr>
            <w:r>
              <w:rPr>
                <w:rFonts w:ascii="Arial" w:cs="Arial" w:eastAsia="Arial" w:hAnsi="Arial"/>
                <w:sz w:val="14"/>
                <w:szCs w:val="14"/>
                <w:b w:val="1"/>
                <w:bCs w:val="1"/>
                <w:color w:val="auto"/>
              </w:rPr>
              <w:t>and other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financing costs,</w:t>
            </w:r>
          </w:p>
        </w:tc>
        <w:tc>
          <w:tcPr>
            <w:tcW w:w="14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ind w:right="49"/>
              <w:spacing w:after="0" w:line="147" w:lineRule="exact"/>
              <w:rPr>
                <w:sz w:val="20"/>
                <w:szCs w:val="20"/>
                <w:color w:val="auto"/>
              </w:rPr>
            </w:pPr>
            <w:r>
              <w:rPr>
                <w:rFonts w:ascii="Arial" w:cs="Arial" w:eastAsia="Arial" w:hAnsi="Arial"/>
                <w:sz w:val="14"/>
                <w:szCs w:val="14"/>
                <w:b w:val="1"/>
                <w:bCs w:val="1"/>
                <w:color w:val="auto"/>
              </w:rPr>
              <w:t>financing costs,</w:t>
            </w:r>
          </w:p>
        </w:tc>
        <w:tc>
          <w:tcPr>
            <w:tcW w:w="0" w:type="dxa"/>
            <w:vAlign w:val="bottom"/>
          </w:tcPr>
          <w:p>
            <w:pPr>
              <w:spacing w:after="0"/>
              <w:rPr>
                <w:sz w:val="1"/>
                <w:szCs w:val="1"/>
                <w:color w:val="auto"/>
              </w:rPr>
            </w:pPr>
          </w:p>
        </w:tc>
      </w:tr>
      <w:tr>
        <w:trPr>
          <w:trHeight w:val="187"/>
        </w:trPr>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revenue</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32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36,546.9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35,622.5</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27,887.6</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27,175.2</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640"/>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3"/>
        </w:trPr>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74"/>
        </w:trPr>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4"/>
        </w:trPr>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300"/>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36,599.8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35,606.3</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27,899.3</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27,172.4</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24"/>
        </w:trPr>
        <w:tc>
          <w:tcPr>
            <w:tcW w:w="1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-1626235</wp:posOffset>
            </wp:positionV>
            <wp:extent cx="7134225" cy="135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-1355090</wp:posOffset>
            </wp:positionV>
            <wp:extent cx="7134225" cy="135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-1083945</wp:posOffset>
            </wp:positionV>
            <wp:extent cx="7134225" cy="135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-812800</wp:posOffset>
            </wp:positionV>
            <wp:extent cx="7134225" cy="220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22034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-457200</wp:posOffset>
            </wp:positionV>
            <wp:extent cx="7134225" cy="220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220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160"/>
            <w:col w:w="7240"/>
          </w:cols>
          <w:pgMar w:left="320" w:top="1095" w:right="33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14" w:name="page15"/>
    <w:bookmarkEnd w:id="14"/>
    <w:p>
      <w:pPr>
        <w:jc w:val="both"/>
        <w:spacing w:after="0" w:line="262" w:lineRule="auto"/>
        <w:rPr>
          <w:sz w:val="20"/>
          <w:szCs w:val="20"/>
          <w:color w:val="auto"/>
        </w:rPr>
      </w:pPr>
      <w:r>
        <w:rPr>
          <w:rFonts w:ascii="Arial" w:cs="Arial" w:eastAsia="Arial" w:hAnsi="Arial"/>
          <w:sz w:val="18"/>
          <w:szCs w:val="18"/>
          <w:color w:val="auto"/>
        </w:rPr>
        <w:t>The following table presents, on a pre-tax basis, the amounts not recorded in Accumulated other comprehensive income (loss) due to intra-period settlement but recognized in Revenue and Cost of revenue in our Condensed Consolidated Statements of Income and Comprehensive Income (in millions):</w:t>
      </w:r>
    </w:p>
    <w:p>
      <w:pPr>
        <w:sectPr>
          <w:pgSz w:w="11900" w:h="16838" w:orient="portrait"/>
          <w:cols w:equalWidth="0" w:num="1">
            <w:col w:w="11240"/>
          </w:cols>
          <w:pgMar w:left="320" w:top="1097" w:right="339" w:bottom="1440" w:gutter="0" w:footer="0" w:header="0"/>
        </w:sectPr>
      </w:pPr>
    </w:p>
    <w:p>
      <w:pPr>
        <w:spacing w:after="0" w:line="321" w:lineRule="exact"/>
        <w:rPr>
          <w:sz w:val="20"/>
          <w:szCs w:val="20"/>
          <w:color w:val="auto"/>
        </w:rPr>
      </w:pPr>
    </w:p>
    <w:p>
      <w:pPr>
        <w:ind w:left="220" w:right="1360" w:firstLine="175"/>
        <w:spacing w:after="0" w:line="232" w:lineRule="auto"/>
        <w:rPr>
          <w:sz w:val="20"/>
          <w:szCs w:val="20"/>
          <w:color w:val="auto"/>
        </w:rPr>
      </w:pPr>
      <w:r>
        <w:rPr>
          <w:rFonts w:ascii="Arial" w:cs="Arial" w:eastAsia="Arial" w:hAnsi="Arial"/>
          <w:sz w:val="17"/>
          <w:szCs w:val="17"/>
          <w:b w:val="1"/>
          <w:bCs w:val="1"/>
          <w:color w:val="auto"/>
        </w:rPr>
        <w:t>Gain (Loss) Not Recorded in Accumulated other comprehensive income (loss) Due to</w:t>
      </w:r>
    </w:p>
    <w:p>
      <w:pPr>
        <w:jc w:val="right"/>
        <w:ind w:right="400"/>
        <w:spacing w:after="0"/>
        <w:tabs>
          <w:tab w:leader="none" w:pos="1120" w:val="left"/>
        </w:tabs>
        <w:rPr>
          <w:sz w:val="20"/>
          <w:szCs w:val="20"/>
          <w:color w:val="auto"/>
        </w:rPr>
      </w:pPr>
      <w:r>
        <w:rPr>
          <w:rFonts w:ascii="Arial" w:cs="Arial" w:eastAsia="Arial" w:hAnsi="Arial"/>
          <w:sz w:val="18"/>
          <w:szCs w:val="18"/>
          <w:b w:val="1"/>
          <w:bCs w:val="1"/>
          <w:color w:val="auto"/>
        </w:rPr>
        <w:t>Intra-Period Settlement</w:t>
      </w:r>
      <w:r>
        <w:rPr>
          <w:sz w:val="20"/>
          <w:szCs w:val="20"/>
          <w:color w:val="auto"/>
        </w:rPr>
        <w:tab/>
      </w:r>
      <w:r>
        <w:rPr>
          <w:rFonts w:ascii="Arial" w:cs="Arial" w:eastAsia="Arial" w:hAnsi="Arial"/>
          <w:sz w:val="17"/>
          <w:szCs w:val="17"/>
          <w:b w:val="1"/>
          <w:bCs w:val="1"/>
          <w:color w:val="auto"/>
        </w:rPr>
        <w:t>Location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40"/>
        </w:trPr>
        <w:tc>
          <w:tcPr>
            <w:tcW w:w="2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September 30,</w:t>
            </w:r>
          </w:p>
        </w:tc>
        <w:tc>
          <w:tcPr>
            <w:tcW w:w="2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September 30,</w:t>
            </w:r>
          </w:p>
        </w:tc>
      </w:tr>
      <w:tr>
        <w:trPr>
          <w:trHeight w:val="247"/>
        </w:trPr>
        <w:tc>
          <w:tcPr>
            <w:tcW w:w="126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2026</w:t>
            </w:r>
          </w:p>
        </w:tc>
        <w:tc>
          <w:tcPr>
            <w:tcW w:w="128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1"/>
                <w:szCs w:val="21"/>
                <w:color w:val="auto"/>
              </w:rPr>
            </w:pPr>
          </w:p>
        </w:tc>
        <w:tc>
          <w:tcPr>
            <w:tcW w:w="1280" w:type="dxa"/>
            <w:vAlign w:val="bottom"/>
            <w:tcBorders>
              <w:top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2026</w:t>
            </w:r>
          </w:p>
        </w:tc>
        <w:tc>
          <w:tcPr>
            <w:tcW w:w="126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r>
    </w:tbl>
    <w:p>
      <w:pPr>
        <w:spacing w:after="0" w:line="1" w:lineRule="exact"/>
        <w:rPr>
          <w:sz w:val="20"/>
          <w:szCs w:val="20"/>
          <w:color w:val="auto"/>
        </w:rPr>
      </w:pPr>
    </w:p>
    <w:p>
      <w:pPr>
        <w:sectPr>
          <w:pgSz w:w="11900" w:h="16838" w:orient="portrait"/>
          <w:cols w:equalWidth="0" w:num="2">
            <w:col w:w="5320" w:space="720"/>
            <w:col w:w="520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140" w:type="dxa"/>
            <w:vAlign w:val="bottom"/>
            <w:tcBorders>
              <w:top w:val="single" w:sz="8" w:color="CCEEFF"/>
            </w:tcBorders>
            <w:shd w:val="clear" w:color="auto" w:fill="CCEEFF"/>
          </w:tcPr>
          <w:p>
            <w:pPr>
              <w:spacing w:after="0"/>
              <w:rPr>
                <w:sz w:val="20"/>
                <w:szCs w:val="20"/>
                <w:color w:val="auto"/>
              </w:rPr>
            </w:pPr>
          </w:p>
        </w:tc>
        <w:tc>
          <w:tcPr>
            <w:tcW w:w="1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21"/>
                <w:szCs w:val="21"/>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21"/>
                <w:szCs w:val="21"/>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2026 and 2025, there were no gains or losses recognized in earnings related to our fair value or cash flow hedges that were excluded from the assessment of hedge effectiveness.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2026, on a pre-tax basis, $35.1 million and $1.1 million are scheduled to be reclassified from Accumulated other comprehensive income (loss) over the next twelve months as a decrease to Revenue and a decrease to Cost of revenue related to designated commodity cash flow hedges that will mature within the next twelve months.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tables present the effect and financial statement location of our derivative instruments in cash flow hedging relationships on Accumulated other comprehensive income (loss) and in our Condensed Consolidated Statements of Income and Comprehensive Income (in millions):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8"/>
              </w:rPr>
              <w:t>For the Three Months Ended</w:t>
            </w:r>
          </w:p>
        </w:tc>
        <w:tc>
          <w:tcPr>
            <w:tcW w:w="2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240"/>
        </w:trPr>
        <w:tc>
          <w:tcPr>
            <w:tcW w:w="6040" w:type="dxa"/>
            <w:vAlign w:val="bottom"/>
            <w:gridSpan w:val="4"/>
          </w:tcPr>
          <w:p>
            <w:pPr>
              <w:ind w:left="700"/>
              <w:spacing w:after="0"/>
              <w:rPr>
                <w:sz w:val="20"/>
                <w:szCs w:val="20"/>
                <w:color w:val="auto"/>
              </w:rPr>
            </w:pPr>
            <w:r>
              <w:rPr>
                <w:rFonts w:ascii="Arial" w:cs="Arial" w:eastAsia="Arial" w:hAnsi="Arial"/>
                <w:sz w:val="18"/>
                <w:szCs w:val="18"/>
                <w:b w:val="1"/>
                <w:bCs w:val="1"/>
                <w:color w:val="auto"/>
              </w:rPr>
              <w:t>Amount of Gain (Loss) Recognized in Accumulated other</w:t>
            </w:r>
          </w:p>
        </w:tc>
        <w:tc>
          <w:tcPr>
            <w:tcW w:w="260" w:type="dxa"/>
            <w:vAlign w:val="bottom"/>
          </w:tcPr>
          <w:p>
            <w:pPr>
              <w:spacing w:after="0"/>
              <w:rPr>
                <w:sz w:val="20"/>
                <w:szCs w:val="20"/>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7"/>
              </w:rPr>
              <w:t>September 30,</w:t>
            </w:r>
          </w:p>
        </w:tc>
        <w:tc>
          <w:tcPr>
            <w:tcW w:w="260" w:type="dxa"/>
            <w:vAlign w:val="bottom"/>
          </w:tcPr>
          <w:p>
            <w:pPr>
              <w:spacing w:after="0"/>
              <w:rPr>
                <w:sz w:val="20"/>
                <w:szCs w:val="20"/>
                <w:color w:val="auto"/>
              </w:rPr>
            </w:pPr>
          </w:p>
        </w:tc>
        <w:tc>
          <w:tcPr>
            <w:tcW w:w="228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247"/>
        </w:trPr>
        <w:tc>
          <w:tcPr>
            <w:tcW w:w="6040" w:type="dxa"/>
            <w:vAlign w:val="bottom"/>
            <w:gridSpan w:val="4"/>
          </w:tcPr>
          <w:p>
            <w:pPr>
              <w:ind w:left="120"/>
              <w:spacing w:after="0"/>
              <w:rPr>
                <w:sz w:val="20"/>
                <w:szCs w:val="20"/>
                <w:color w:val="auto"/>
              </w:rPr>
            </w:pPr>
            <w:r>
              <w:rPr>
                <w:rFonts w:ascii="Arial" w:cs="Arial" w:eastAsia="Arial" w:hAnsi="Arial"/>
                <w:sz w:val="18"/>
                <w:szCs w:val="18"/>
                <w:b w:val="1"/>
                <w:bCs w:val="1"/>
                <w:color w:val="auto"/>
              </w:rPr>
              <w:t>comprehensive income (loss), Net of Income Tax (Expense) Benefit</w:t>
            </w: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4"/>
        </w:trPr>
        <w:tc>
          <w:tcPr>
            <w:tcW w:w="39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 (Revenue)</w:t>
            </w:r>
          </w:p>
        </w:tc>
        <w:tc>
          <w:tcPr>
            <w:tcW w:w="19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center"/>
              <w:ind w:left="4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0"/>
        </w:trPr>
        <w:tc>
          <w:tcPr>
            <w:tcW w:w="39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contracts (Cost of revenue)</w:t>
            </w:r>
          </w:p>
        </w:tc>
        <w:tc>
          <w:tcPr>
            <w:tcW w:w="19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4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19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center"/>
              <w:ind w:left="43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Arial" w:cs="Arial" w:eastAsia="Arial" w:hAnsi="Arial"/>
                <w:sz w:val="18"/>
                <w:szCs w:val="18"/>
                <w:b w:val="1"/>
                <w:bCs w:val="1"/>
                <w:color w:val="auto"/>
              </w:rPr>
              <w:t>Amount of Gain (Loss) Reclassified</w:t>
            </w:r>
          </w:p>
        </w:tc>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92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7"/>
            <w:vMerge w:val="restart"/>
          </w:tcPr>
          <w:p>
            <w:pPr>
              <w:jc w:val="center"/>
              <w:ind w:right="120"/>
              <w:spacing w:after="0"/>
              <w:rPr>
                <w:sz w:val="20"/>
                <w:szCs w:val="20"/>
                <w:color w:val="auto"/>
              </w:rPr>
            </w:pPr>
            <w:r>
              <w:rPr>
                <w:rFonts w:ascii="Arial" w:cs="Arial" w:eastAsia="Arial" w:hAnsi="Arial"/>
                <w:sz w:val="18"/>
                <w:szCs w:val="18"/>
                <w:b w:val="1"/>
                <w:bCs w:val="1"/>
                <w:color w:val="auto"/>
                <w:w w:val="99"/>
              </w:rPr>
              <w:t>For the Three Months Ended</w:t>
            </w:r>
          </w:p>
        </w:tc>
        <w:tc>
          <w:tcPr>
            <w:tcW w:w="25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98"/>
              </w:rPr>
              <w:t>For the Nine Months Ended</w:t>
            </w:r>
          </w:p>
        </w:tc>
        <w:tc>
          <w:tcPr>
            <w:tcW w:w="0" w:type="dxa"/>
            <w:vAlign w:val="bottom"/>
          </w:tcPr>
          <w:p>
            <w:pPr>
              <w:spacing w:after="0"/>
              <w:rPr>
                <w:sz w:val="1"/>
                <w:szCs w:val="1"/>
                <w:color w:val="auto"/>
              </w:rPr>
            </w:pPr>
          </w:p>
        </w:tc>
      </w:tr>
      <w:tr>
        <w:trPr>
          <w:trHeight w:val="80"/>
        </w:trPr>
        <w:tc>
          <w:tcPr>
            <w:tcW w:w="3920" w:type="dxa"/>
            <w:vAlign w:val="bottom"/>
            <w:gridSpan w:val="2"/>
            <w:vMerge w:val="restart"/>
          </w:tcPr>
          <w:p>
            <w:pPr>
              <w:jc w:val="center"/>
              <w:ind w:right="120"/>
              <w:spacing w:after="0" w:line="179" w:lineRule="exact"/>
              <w:rPr>
                <w:sz w:val="20"/>
                <w:szCs w:val="20"/>
                <w:color w:val="auto"/>
              </w:rPr>
            </w:pPr>
            <w:r>
              <w:rPr>
                <w:rFonts w:ascii="Arial" w:cs="Arial" w:eastAsia="Arial" w:hAnsi="Arial"/>
                <w:sz w:val="18"/>
                <w:szCs w:val="18"/>
                <w:b w:val="1"/>
                <w:bCs w:val="1"/>
                <w:color w:val="auto"/>
                <w:w w:val="98"/>
              </w:rPr>
              <w:t>from Accumulated other comprehensive</w:t>
            </w:r>
          </w:p>
        </w:tc>
        <w:tc>
          <w:tcPr>
            <w:tcW w:w="1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60" w:type="dxa"/>
            <w:vAlign w:val="bottom"/>
            <w:gridSpan w:val="7"/>
            <w:vMerge w:val="continue"/>
          </w:tcPr>
          <w:p>
            <w:pPr>
              <w:spacing w:after="0"/>
              <w:rPr>
                <w:sz w:val="6"/>
                <w:szCs w:val="6"/>
                <w:color w:val="auto"/>
              </w:rPr>
            </w:pPr>
          </w:p>
        </w:tc>
        <w:tc>
          <w:tcPr>
            <w:tcW w:w="25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20" w:type="dxa"/>
            <w:vAlign w:val="bottom"/>
            <w:gridSpan w:val="2"/>
            <w:vMerge w:val="continue"/>
          </w:tcPr>
          <w:p>
            <w:pPr>
              <w:spacing w:after="0"/>
              <w:rPr>
                <w:sz w:val="8"/>
                <w:szCs w:val="8"/>
                <w:color w:val="auto"/>
              </w:rPr>
            </w:pPr>
          </w:p>
        </w:tc>
        <w:tc>
          <w:tcPr>
            <w:tcW w:w="1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0" w:type="dxa"/>
            <w:vAlign w:val="bottom"/>
            <w:gridSpan w:val="6"/>
            <w:vMerge w:val="restart"/>
          </w:tcPr>
          <w:p>
            <w:pPr>
              <w:jc w:val="center"/>
              <w:ind w:right="380"/>
              <w:spacing w:after="0"/>
              <w:rPr>
                <w:sz w:val="20"/>
                <w:szCs w:val="20"/>
                <w:color w:val="auto"/>
              </w:rPr>
            </w:pPr>
            <w:r>
              <w:rPr>
                <w:rFonts w:ascii="Arial" w:cs="Arial" w:eastAsia="Arial" w:hAnsi="Arial"/>
                <w:sz w:val="18"/>
                <w:szCs w:val="18"/>
                <w:b w:val="1"/>
                <w:bCs w:val="1"/>
                <w:color w:val="auto"/>
                <w:w w:val="99"/>
              </w:rPr>
              <w:t>September 30,</w:t>
            </w:r>
          </w:p>
        </w:tc>
        <w:tc>
          <w:tcPr>
            <w:tcW w:w="260" w:type="dxa"/>
            <w:vAlign w:val="bottom"/>
          </w:tcPr>
          <w:p>
            <w:pPr>
              <w:spacing w:after="0"/>
              <w:rPr>
                <w:sz w:val="8"/>
                <w:szCs w:val="8"/>
                <w:color w:val="auto"/>
              </w:rPr>
            </w:pPr>
          </w:p>
        </w:tc>
        <w:tc>
          <w:tcPr>
            <w:tcW w:w="2280" w:type="dxa"/>
            <w:vAlign w:val="bottom"/>
            <w:gridSpan w:val="4"/>
            <w:vMerge w:val="restart"/>
          </w:tcPr>
          <w:p>
            <w:pPr>
              <w:jc w:val="center"/>
              <w:ind w:right="171"/>
              <w:spacing w:after="0"/>
              <w:rPr>
                <w:sz w:val="20"/>
                <w:szCs w:val="20"/>
                <w:color w:val="auto"/>
              </w:rPr>
            </w:pPr>
            <w:r>
              <w:rPr>
                <w:rFonts w:ascii="Arial" w:cs="Arial" w:eastAsia="Arial" w:hAnsi="Arial"/>
                <w:sz w:val="18"/>
                <w:szCs w:val="18"/>
                <w:b w:val="1"/>
                <w:bCs w:val="1"/>
                <w:color w:val="auto"/>
                <w:w w:val="99"/>
              </w:rPr>
              <w:t>September 30,</w:t>
            </w:r>
          </w:p>
        </w:tc>
        <w:tc>
          <w:tcPr>
            <w:tcW w:w="0" w:type="dxa"/>
            <w:vAlign w:val="bottom"/>
          </w:tcPr>
          <w:p>
            <w:pPr>
              <w:spacing w:after="0"/>
              <w:rPr>
                <w:sz w:val="1"/>
                <w:szCs w:val="1"/>
                <w:color w:val="auto"/>
              </w:rPr>
            </w:pPr>
          </w:p>
        </w:tc>
      </w:tr>
      <w:tr>
        <w:trPr>
          <w:trHeight w:val="133"/>
        </w:trPr>
        <w:tc>
          <w:tcPr>
            <w:tcW w:w="3920" w:type="dxa"/>
            <w:vAlign w:val="bottom"/>
            <w:gridSpan w:val="2"/>
            <w:vMerge w:val="restart"/>
          </w:tcPr>
          <w:p>
            <w:pPr>
              <w:jc w:val="center"/>
              <w:ind w:right="120"/>
              <w:spacing w:after="0" w:line="174" w:lineRule="exact"/>
              <w:rPr>
                <w:sz w:val="20"/>
                <w:szCs w:val="20"/>
                <w:color w:val="auto"/>
              </w:rPr>
            </w:pPr>
            <w:r>
              <w:rPr>
                <w:rFonts w:ascii="Arial" w:cs="Arial" w:eastAsia="Arial" w:hAnsi="Arial"/>
                <w:sz w:val="18"/>
                <w:szCs w:val="18"/>
                <w:b w:val="1"/>
                <w:bCs w:val="1"/>
                <w:color w:val="auto"/>
                <w:w w:val="98"/>
              </w:rPr>
              <w:t>income (loss) into Net income (loss), Net of</w:t>
            </w: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0" w:type="dxa"/>
            <w:vAlign w:val="bottom"/>
            <w:gridSpan w:val="6"/>
            <w:vMerge w:val="continue"/>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continue"/>
          </w:tcPr>
          <w:p>
            <w:pPr>
              <w:spacing w:after="0" w:line="20" w:lineRule="exact"/>
              <w:rPr>
                <w:sz w:val="1"/>
                <w:szCs w:val="1"/>
                <w:color w:val="auto"/>
              </w:rPr>
            </w:pPr>
          </w:p>
        </w:tc>
        <w:tc>
          <w:tcPr>
            <w:tcW w:w="1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vMerge w:val="restart"/>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vMerge w:val="restart"/>
          </w:tcPr>
          <w:p>
            <w:pPr>
              <w:jc w:val="right"/>
              <w:ind w:right="291"/>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line="20" w:lineRule="exact"/>
              <w:rPr>
                <w:sz w:val="1"/>
                <w:szCs w:val="1"/>
                <w:color w:val="auto"/>
              </w:rPr>
            </w:pPr>
          </w:p>
        </w:tc>
      </w:tr>
      <w:tr>
        <w:trPr>
          <w:trHeight w:val="227"/>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Income Tax (Expense) Benefit</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0"/>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Commodity contracts</w:t>
            </w:r>
          </w:p>
        </w:tc>
        <w:tc>
          <w:tcPr>
            <w:tcW w:w="21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center"/>
              <w:ind w:left="43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97"/>
        </w:trPr>
        <w:tc>
          <w:tcPr>
            <w:tcW w:w="3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212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8"/>
                <w:szCs w:val="18"/>
                <w:color w:val="auto"/>
              </w:rPr>
              <w:t>other financing costs,</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80" w:type="dxa"/>
            <w:vAlign w:val="bottom"/>
            <w:gridSpan w:val="3"/>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center"/>
              <w:ind w:left="451"/>
              <w:spacing w:after="0"/>
              <w:rPr>
                <w:sz w:val="20"/>
                <w:szCs w:val="20"/>
                <w:color w:val="auto"/>
              </w:rPr>
            </w:pPr>
            <w:r>
              <w:rPr>
                <w:rFonts w:ascii="Arial" w:cs="Arial" w:eastAsia="Arial" w:hAnsi="Arial"/>
                <w:sz w:val="18"/>
                <w:szCs w:val="18"/>
                <w:color w:val="auto"/>
                <w:w w:val="95"/>
              </w:rPr>
              <w:t>2.1</w:t>
            </w:r>
          </w:p>
        </w:tc>
        <w:tc>
          <w:tcPr>
            <w:tcW w:w="0" w:type="dxa"/>
            <w:vAlign w:val="bottom"/>
          </w:tcPr>
          <w:p>
            <w:pPr>
              <w:spacing w:after="0"/>
              <w:rPr>
                <w:sz w:val="1"/>
                <w:szCs w:val="1"/>
                <w:color w:val="auto"/>
              </w:rPr>
            </w:pPr>
          </w:p>
        </w:tc>
      </w:tr>
      <w:tr>
        <w:trPr>
          <w:trHeight w:val="227"/>
        </w:trPr>
        <w:tc>
          <w:tcPr>
            <w:tcW w:w="3920" w:type="dxa"/>
            <w:vAlign w:val="bottom"/>
            <w:gridSpan w:val="2"/>
            <w:vMerge w:val="continue"/>
            <w:shd w:val="clear" w:color="auto" w:fill="CCEEFF"/>
          </w:tcPr>
          <w:p>
            <w:pPr>
              <w:spacing w:after="0"/>
              <w:rPr>
                <w:sz w:val="19"/>
                <w:szCs w:val="19"/>
                <w:color w:val="auto"/>
              </w:rPr>
            </w:pP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ind w:left="20"/>
              <w:spacing w:after="0"/>
              <w:rPr>
                <w:sz w:val="20"/>
                <w:szCs w:val="20"/>
                <w:color w:val="auto"/>
              </w:rPr>
            </w:pPr>
            <w:r>
              <w:rPr>
                <w:rFonts w:ascii="Arial" w:cs="Arial" w:eastAsia="Arial" w:hAnsi="Arial"/>
                <w:sz w:val="18"/>
                <w:szCs w:val="18"/>
                <w:color w:val="auto"/>
              </w:rPr>
              <w:t>Total gain (loss)</w:t>
            </w:r>
          </w:p>
        </w:tc>
        <w:tc>
          <w:tcPr>
            <w:tcW w:w="1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center"/>
              <w:ind w:left="4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vMerge w:val="restart"/>
          </w:tcPr>
          <w:p>
            <w:pPr>
              <w:ind w:left="16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98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Derivatives Not Designated as Hedging Instruments</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table presents the amount and financial statement location in our Condensed Consolidated Statements of Income and Comprehensive Income of realized and unrealized gains (losses) recognized on derivative instruments not designated as hedging instruments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600" w:type="dxa"/>
            <w:vAlign w:val="bottom"/>
            <w:gridSpan w:val="4"/>
          </w:tcPr>
          <w:p>
            <w:pPr>
              <w:jc w:val="right"/>
              <w:ind w:right="151"/>
              <w:spacing w:after="0"/>
              <w:rPr>
                <w:sz w:val="20"/>
                <w:szCs w:val="20"/>
                <w:color w:val="auto"/>
              </w:rPr>
            </w:pPr>
            <w:r>
              <w:rPr>
                <w:rFonts w:ascii="Arial" w:cs="Arial" w:eastAsia="Arial" w:hAnsi="Arial"/>
                <w:sz w:val="18"/>
                <w:szCs w:val="18"/>
                <w:b w:val="1"/>
                <w:bCs w:val="1"/>
                <w:color w:val="auto"/>
                <w:w w:val="99"/>
              </w:rPr>
              <w:t>For the Nine Months Ended</w:t>
            </w:r>
          </w:p>
        </w:tc>
      </w:tr>
      <w:tr>
        <w:trPr>
          <w:trHeight w:val="240"/>
        </w:trPr>
        <w:tc>
          <w:tcPr>
            <w:tcW w:w="3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 Instruments - Non-</w:t>
            </w: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0"/>
                <w:szCs w:val="20"/>
                <w:color w:val="auto"/>
              </w:rPr>
            </w:pPr>
          </w:p>
        </w:tc>
        <w:tc>
          <w:tcPr>
            <w:tcW w:w="260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September 30,</w:t>
            </w:r>
          </w:p>
        </w:tc>
      </w:tr>
      <w:tr>
        <w:trPr>
          <w:trHeight w:val="24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designated</w:t>
            </w:r>
          </w:p>
        </w:tc>
        <w:tc>
          <w:tcPr>
            <w:tcW w:w="12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2025</w:t>
            </w:r>
          </w:p>
        </w:tc>
      </w:tr>
      <w:tr>
        <w:trPr>
          <w:trHeight w:val="234"/>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0"/>
        </w:trPr>
        <w:tc>
          <w:tcPr>
            <w:tcW w:w="3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34"/>
        </w:trPr>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4"/>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187"/>
        </w:trPr>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0"/>
        </w:trPr>
        <w:tc>
          <w:tcPr>
            <w:tcW w:w="3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4"/>
        </w:trPr>
        <w:tc>
          <w:tcPr>
            <w:tcW w:w="3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59"/>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gain (loss)</w:t>
            </w:r>
          </w:p>
        </w:tc>
        <w:tc>
          <w:tcPr>
            <w:tcW w:w="2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enter into derivative contracts which may require us to post collateral periodically. Certain of these derivative contracts contain credit-risk-related contingent clauses which are triggered by credit events, such as a credit downgrade or if certain defined financial ratios fall below an established threshold. The occurrence of these credit events may require us to post additional collateral or immediately settle the derivative instrument.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potential collateral requirements for derivative liabilities with credit-risk-contingent features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2026</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2025</w:t>
            </w:r>
          </w:p>
        </w:tc>
      </w:tr>
      <w:tr>
        <w:trPr>
          <w:trHeight w:val="234"/>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liability positions with credit contingent features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Collateral posted and held by our counterparties</w:t>
            </w:r>
          </w:p>
        </w:tc>
        <w:tc>
          <w:tcPr>
            <w:tcW w:w="180" w:type="dxa"/>
            <w:vAlign w:val="bottom"/>
          </w:tcPr>
          <w:p>
            <w:pPr>
              <w:spacing w:after="0"/>
              <w:rPr>
                <w:sz w:val="20"/>
                <w:szCs w:val="20"/>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59"/>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Maximum additional potential collateral requirements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carrying amounts of cash and cash equivalents, net accounts receivable, accounts payable and accrued expenses and other current liabilities approximate fair value based on their short-term maturities. With the exception of the Convertible Notes (as defined below), as discussed in Note 7. Debt, Interest Income, Expense, and Other Financing Costs, the carrying values of our debt and notes receivable approximate fair value as these instruments bear interest either at variable rates or fixed rates, which are not significantly different from market rates. The fair value measurements for our debt and notes receivable are considered to be Level 2 measurements based on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information about our gross assets and liabilities that are measured at fair value on a recurring basis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36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as of September 30, 2026</w:t>
            </w:r>
          </w:p>
        </w:tc>
        <w:tc>
          <w:tcPr>
            <w:tcW w:w="1040" w:type="dxa"/>
            <w:vAlign w:val="bottom"/>
            <w:tcBorders>
              <w:bottom w:val="single" w:sz="8" w:color="auto"/>
            </w:tcBorders>
          </w:tcPr>
          <w:p>
            <w:pPr>
              <w:spacing w:after="0"/>
              <w:rPr>
                <w:sz w:val="20"/>
                <w:szCs w:val="20"/>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500" w:type="dxa"/>
            <w:vAlign w:val="bottom"/>
          </w:tcPr>
          <w:p>
            <w:pPr>
              <w:spacing w:after="0"/>
              <w:rPr>
                <w:sz w:val="20"/>
                <w:szCs w:val="20"/>
                <w:color w:val="auto"/>
              </w:rPr>
            </w:pPr>
          </w:p>
        </w:tc>
        <w:tc>
          <w:tcPr>
            <w:tcW w:w="104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2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522.2</w:t>
            </w: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5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471.0</w:t>
            </w: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4"/>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0"/>
        </w:trPr>
        <w:tc>
          <w:tcPr>
            <w:tcW w:w="4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9"/>
          </w:tcPr>
          <w:p>
            <w:pPr>
              <w:jc w:val="right"/>
              <w:ind w:right="11"/>
              <w:spacing w:after="0"/>
              <w:rPr>
                <w:sz w:val="20"/>
                <w:szCs w:val="20"/>
                <w:color w:val="auto"/>
              </w:rPr>
            </w:pPr>
            <w:r>
              <w:rPr>
                <w:rFonts w:ascii="Arial" w:cs="Arial" w:eastAsia="Arial" w:hAnsi="Arial"/>
                <w:sz w:val="18"/>
                <w:szCs w:val="18"/>
                <w:b w:val="1"/>
                <w:bCs w:val="1"/>
                <w:color w:val="auto"/>
              </w:rPr>
              <w:t>Fair Value Measurements as of December 31, 2025</w:t>
            </w:r>
          </w:p>
        </w:tc>
        <w:tc>
          <w:tcPr>
            <w:tcW w:w="1040" w:type="dxa"/>
            <w:vAlign w:val="bottom"/>
            <w:tcBorders>
              <w:bottom w:val="single" w:sz="8" w:color="auto"/>
            </w:tcBorders>
          </w:tcPr>
          <w:p>
            <w:pPr>
              <w:spacing w:after="0"/>
              <w:rPr>
                <w:sz w:val="24"/>
                <w:szCs w:val="24"/>
                <w:color w:val="auto"/>
              </w:rPr>
            </w:pPr>
          </w:p>
        </w:tc>
      </w:tr>
      <w:tr>
        <w:trPr>
          <w:trHeight w:val="234"/>
        </w:trPr>
        <w:tc>
          <w:tcPr>
            <w:tcW w:w="4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 Inputs</w:t>
            </w:r>
          </w:p>
        </w:tc>
        <w:tc>
          <w:tcPr>
            <w:tcW w:w="1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 Inputs</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 Inputs</w:t>
            </w:r>
          </w:p>
        </w:tc>
        <w:tc>
          <w:tcPr>
            <w:tcW w:w="500" w:type="dxa"/>
            <w:vAlign w:val="bottom"/>
          </w:tcPr>
          <w:p>
            <w:pPr>
              <w:spacing w:after="0"/>
              <w:rPr>
                <w:sz w:val="20"/>
                <w:szCs w:val="20"/>
                <w:color w:val="auto"/>
              </w:rPr>
            </w:pPr>
          </w:p>
        </w:tc>
        <w:tc>
          <w:tcPr>
            <w:tcW w:w="1040" w:type="dxa"/>
            <w:vAlign w:val="bottom"/>
          </w:tcPr>
          <w:p>
            <w:pPr>
              <w:jc w:val="right"/>
              <w:ind w:right="471"/>
              <w:spacing w:after="0"/>
              <w:rPr>
                <w:sz w:val="20"/>
                <w:szCs w:val="20"/>
                <w:color w:val="auto"/>
              </w:rPr>
            </w:pPr>
            <w:r>
              <w:rPr>
                <w:rFonts w:ascii="Arial" w:cs="Arial" w:eastAsia="Arial" w:hAnsi="Arial"/>
                <w:sz w:val="18"/>
                <w:szCs w:val="18"/>
                <w:b w:val="1"/>
                <w:bCs w:val="1"/>
                <w:color w:val="auto"/>
              </w:rPr>
              <w:t>Total</w:t>
            </w:r>
          </w:p>
        </w:tc>
      </w:tr>
      <w:tr>
        <w:trPr>
          <w:trHeight w:val="220"/>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283.7</w:t>
            </w: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Cash surrender value of life insurance</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5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0"/>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0"/>
        </w:trPr>
        <w:tc>
          <w:tcPr>
            <w:tcW w:w="47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218.6</w:t>
            </w:r>
          </w:p>
        </w:tc>
      </w:tr>
      <w:tr>
        <w:trPr>
          <w:trHeight w:val="24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4"/>
        </w:trPr>
        <w:tc>
          <w:tcPr>
            <w:tcW w:w="4700" w:type="dxa"/>
            <w:vAlign w:val="bottom"/>
          </w:tcPr>
          <w:p>
            <w:pPr>
              <w:ind w:left="20"/>
              <w:spacing w:after="0"/>
              <w:rPr>
                <w:sz w:val="20"/>
                <w:szCs w:val="20"/>
                <w:color w:val="auto"/>
              </w:rPr>
            </w:pPr>
            <w:r>
              <w:rPr>
                <w:rFonts w:ascii="Arial" w:cs="Arial" w:eastAsia="Arial" w:hAnsi="Arial"/>
                <w:sz w:val="18"/>
                <w:szCs w:val="18"/>
                <w:color w:val="auto"/>
              </w:rPr>
              <w:t>Total liabilities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228.4</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8"/>
          <w:szCs w:val="18"/>
          <w:color w:val="auto"/>
        </w:rPr>
        <w:t>We have elected to offset the recognized fair value amounts for multiple derivative instruments executed with the same counterparty in our financial statements when a legal right of offset exists. The following tables summarize those derivative balances subject to the right of offset as presented on our Condensed Consolidated Balance Sheets (in millions):</w:t>
      </w:r>
    </w:p>
    <w:p>
      <w:pPr>
        <w:spacing w:after="0" w:line="121"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5"/>
          </w:tcPr>
          <w:p>
            <w:pPr>
              <w:jc w:val="right"/>
              <w:ind w:right="71"/>
              <w:spacing w:after="0"/>
              <w:rPr>
                <w:sz w:val="20"/>
                <w:szCs w:val="20"/>
                <w:color w:val="auto"/>
              </w:rPr>
            </w:pPr>
            <w:r>
              <w:rPr>
                <w:rFonts w:ascii="Arial" w:cs="Arial" w:eastAsia="Arial" w:hAnsi="Arial"/>
                <w:sz w:val="18"/>
                <w:szCs w:val="18"/>
                <w:b w:val="1"/>
                <w:bCs w:val="1"/>
                <w:color w:val="auto"/>
              </w:rPr>
              <w:t>Fair Value as of September 30, 2026</w:t>
            </w:r>
          </w:p>
        </w:tc>
        <w:tc>
          <w:tcPr>
            <w:tcW w:w="1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31"/>
              <w:spacing w:after="0"/>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40"/>
              <w:spacing w:after="0" w:line="180" w:lineRule="exact"/>
              <w:rPr>
                <w:sz w:val="20"/>
                <w:szCs w:val="20"/>
                <w:color w:val="auto"/>
              </w:rPr>
            </w:pPr>
            <w:r>
              <w:rPr>
                <w:rFonts w:ascii="Arial" w:cs="Arial" w:eastAsia="Arial" w:hAnsi="Arial"/>
                <w:sz w:val="18"/>
                <w:szCs w:val="18"/>
                <w:b w:val="1"/>
                <w:bCs w:val="1"/>
                <w:color w:val="auto"/>
                <w:w w:val="99"/>
              </w:rPr>
              <w:t>Gross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2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rPr>
              <w:t>Gross Amounts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rPr>
              <w:t>Cash</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jc w:val="center"/>
              <w:ind w:right="340"/>
              <w:spacing w:after="0" w:line="174" w:lineRule="exact"/>
              <w:rPr>
                <w:sz w:val="20"/>
                <w:szCs w:val="20"/>
                <w:color w:val="auto"/>
              </w:rPr>
            </w:pPr>
            <w:r>
              <w:rPr>
                <w:rFonts w:ascii="Arial" w:cs="Arial" w:eastAsia="Arial" w:hAnsi="Arial"/>
                <w:sz w:val="18"/>
                <w:szCs w:val="18"/>
                <w:b w:val="1"/>
                <w:bCs w:val="1"/>
                <w:color w:val="auto"/>
                <w:w w:val="97"/>
              </w:rPr>
              <w:t>Amounts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5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31"/>
              <w:spacing w:after="0" w:line="187"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4"/>
          </w:tcPr>
          <w:p>
            <w:pPr>
              <w:jc w:val="center"/>
              <w:ind w:right="140"/>
              <w:spacing w:after="0" w:line="187" w:lineRule="exact"/>
              <w:rPr>
                <w:sz w:val="20"/>
                <w:szCs w:val="20"/>
                <w:color w:val="auto"/>
              </w:rPr>
            </w:pPr>
            <w:r>
              <w:rPr>
                <w:rFonts w:ascii="Arial" w:cs="Arial" w:eastAsia="Arial" w:hAnsi="Arial"/>
                <w:sz w:val="18"/>
                <w:szCs w:val="18"/>
                <w:b w:val="1"/>
                <w:bCs w:val="1"/>
                <w:color w:val="auto"/>
                <w:w w:val="97"/>
              </w:rPr>
              <w:t>without Right</w:t>
            </w:r>
          </w:p>
        </w:tc>
        <w:tc>
          <w:tcPr>
            <w:tcW w:w="20" w:type="dxa"/>
            <w:vAlign w:val="bottom"/>
          </w:tcPr>
          <w:p>
            <w:pPr>
              <w:spacing w:after="0"/>
              <w:rPr>
                <w:sz w:val="16"/>
                <w:szCs w:val="16"/>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Collateral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7"/>
              </w:rPr>
              <w:t>of Offset</w:t>
            </w:r>
          </w:p>
        </w:tc>
        <w:tc>
          <w:tcPr>
            <w:tcW w:w="2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522.2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409.4</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8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535.8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420.2</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115.6</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w:t>
            </w:r>
          </w:p>
        </w:tc>
        <w:tc>
          <w:tcPr>
            <w:tcW w:w="100" w:type="dxa"/>
            <w:vAlign w:val="bottom"/>
            <w:tcBorders>
              <w:bottom w:val="single" w:sz="8" w:color="auto"/>
            </w:tcBorders>
            <w:gridSpan w:val="2"/>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spacing w:after="0"/>
              <w:rPr>
                <w:sz w:val="22"/>
                <w:szCs w:val="22"/>
                <w:color w:val="auto"/>
              </w:rPr>
            </w:pPr>
          </w:p>
        </w:tc>
        <w:tc>
          <w:tcPr>
            <w:tcW w:w="420" w:type="dxa"/>
            <w:vAlign w:val="bottom"/>
            <w:tcBorders>
              <w:bottom w:val="single" w:sz="8" w:color="auto"/>
            </w:tcBorders>
            <w:gridSpan w:val="2"/>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4"/>
          </w:tcPr>
          <w:p>
            <w:pPr>
              <w:jc w:val="right"/>
              <w:ind w:right="111"/>
              <w:spacing w:after="0"/>
              <w:rPr>
                <w:sz w:val="20"/>
                <w:szCs w:val="20"/>
                <w:color w:val="auto"/>
              </w:rPr>
            </w:pPr>
            <w:r>
              <w:rPr>
                <w:rFonts w:ascii="Arial" w:cs="Arial" w:eastAsia="Arial" w:hAnsi="Arial"/>
                <w:sz w:val="18"/>
                <w:szCs w:val="18"/>
                <w:b w:val="1"/>
                <w:bCs w:val="1"/>
                <w:color w:val="auto"/>
                <w:w w:val="97"/>
              </w:rPr>
              <w:t>Fair Value as of December 31, 2025</w:t>
            </w: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9"/>
              </w:rPr>
              <w:t>Gross Amounts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9"/>
              </w:rPr>
              <w:t>Gross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8"/>
              </w:rPr>
              <w:t>Net Amounts</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Cash</w:t>
            </w:r>
          </w:p>
        </w:tc>
        <w:tc>
          <w:tcPr>
            <w:tcW w:w="1580" w:type="dxa"/>
            <w:vAlign w:val="bottom"/>
            <w:gridSpan w:val="5"/>
          </w:tcPr>
          <w:p>
            <w:pPr>
              <w:jc w:val="right"/>
              <w:ind w:right="160"/>
              <w:spacing w:after="0" w:line="180" w:lineRule="exact"/>
              <w:rPr>
                <w:sz w:val="20"/>
                <w:szCs w:val="20"/>
                <w:color w:val="auto"/>
              </w:rPr>
            </w:pPr>
            <w:r>
              <w:rPr>
                <w:rFonts w:ascii="Arial" w:cs="Arial" w:eastAsia="Arial" w:hAnsi="Arial"/>
                <w:sz w:val="18"/>
                <w:szCs w:val="18"/>
                <w:b w:val="1"/>
                <w:bCs w:val="1"/>
                <w:color w:val="auto"/>
              </w:rPr>
              <w:t>Gross Amounts</w:t>
            </w: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spacing w:after="0" w:line="174" w:lineRule="exact"/>
              <w:rPr>
                <w:sz w:val="20"/>
                <w:szCs w:val="20"/>
                <w:color w:val="auto"/>
              </w:rPr>
            </w:pPr>
            <w:r>
              <w:rPr>
                <w:rFonts w:ascii="Arial" w:cs="Arial" w:eastAsia="Arial" w:hAnsi="Arial"/>
                <w:sz w:val="18"/>
                <w:szCs w:val="18"/>
                <w:b w:val="1"/>
                <w:bCs w:val="1"/>
                <w:color w:val="auto"/>
                <w:w w:val="97"/>
              </w:rPr>
              <w:t>Amounts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580" w:type="dxa"/>
            <w:vAlign w:val="bottom"/>
            <w:gridSpan w:val="5"/>
          </w:tcPr>
          <w:p>
            <w:pPr>
              <w:jc w:val="right"/>
              <w:ind w:right="160"/>
              <w:spacing w:after="0" w:line="174" w:lineRule="exact"/>
              <w:rPr>
                <w:sz w:val="20"/>
                <w:szCs w:val="20"/>
                <w:color w:val="auto"/>
              </w:rPr>
            </w:pPr>
            <w:r>
              <w:rPr>
                <w:rFonts w:ascii="Arial" w:cs="Arial" w:eastAsia="Arial" w:hAnsi="Arial"/>
                <w:sz w:val="18"/>
                <w:szCs w:val="18"/>
                <w:b w:val="1"/>
                <w:bCs w:val="1"/>
                <w:color w:val="auto"/>
              </w:rPr>
              <w:t>without Right of</w:t>
            </w:r>
          </w:p>
        </w:tc>
        <w:tc>
          <w:tcPr>
            <w:tcW w:w="20" w:type="dxa"/>
            <w:vAlign w:val="bottom"/>
          </w:tcPr>
          <w:p>
            <w:pPr>
              <w:spacing w:after="0"/>
              <w:rPr>
                <w:sz w:val="15"/>
                <w:szCs w:val="15"/>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Amounts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Recognized</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Offset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Presented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Collateral</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Offset</w:t>
            </w:r>
          </w:p>
        </w:tc>
        <w:tc>
          <w:tcPr>
            <w:tcW w:w="2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151.3</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132.4</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Total assets at fair value</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157.8</w:t>
            </w:r>
          </w:p>
        </w:tc>
        <w:tc>
          <w:tcPr>
            <w:tcW w:w="36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contracts</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contracts</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at fair value</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3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2"/>
                <w:szCs w:val="22"/>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2026 and December 31, 2025, we did not present any amounts gross on our Condensed Consolidated Balance Sheets where we had the right of offset.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individual over-the-counter ("OTC") counterparty exposure is managed within predetermined credit limits and includes the use of cash-call margins when appropriate, thereby reducing the risk of significant nonperformance. At September 30, 2026, one of our counterparties with a total exposure of $8.8 million represented over 10% of our credit exposure to OTC derivative counterparties, for which we held no cash collateral.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quarter of 2025, we identified an impairment indicator with respect to the Watson Fuels asset group within our land segment. We determined that the carrying amount was not recoverable and recognized an asset impairment charge of $44.5 million during the three months ended March 31, 2025. The impairment is recorded within Goodwill and other asset impairments on the Condensed Consolidated Statements of Income and Comprehensive Income and reported in our land segment. The fair value of the asset group was determined based on a market approach using the estimated sale proceeds for the Watson Fuels sale. The measurement is categorized as Level 2 within the fair value hierarchy. As discussed in Note 2. Acquisitions and Divestitures, we completed the Watson Fuels sale on April 9, 2025.</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jc w:val="both"/>
        <w:spacing w:after="0" w:line="250" w:lineRule="auto"/>
        <w:rPr>
          <w:sz w:val="20"/>
          <w:szCs w:val="20"/>
          <w:color w:val="auto"/>
        </w:rPr>
      </w:pPr>
      <w:r>
        <w:rPr>
          <w:rFonts w:ascii="Arial" w:cs="Arial" w:eastAsia="Arial" w:hAnsi="Arial"/>
          <w:sz w:val="18"/>
          <w:szCs w:val="18"/>
          <w:color w:val="auto"/>
        </w:rPr>
        <w:t>During the second quarter of 2025, we identified impairment indicators with respect to the Falmouth asset group within our marine segment as well as intangible assets related to certain trade names within our land segment. We determined that the carrying amount of the Falmouth asset group was not recoverable and recognized an asset impairment charge of $31.6 million. The fair value of the asset group, excluding the related land, was determined to be nominal based on an income approach using a discounted cash flow methodology. As a result, the full carrying amount of the long-lived assets, excluding the related land, was impaired. The fair value measurement is categorized as Level 3 within the fair value hierarchy. We also recognized an asset impairment charge of $8.0 million related to certain trade names as a result of steps taken to consolidate branding within our land segment. We determined that the carrying value of the assets was not recoverable and recognized a full impairment of the related intangible assets. The fair value measurement is categorized as Level 3 within the fair value hierarchy. These asset impairment charges are recorded within Goodwill and other asset impairments on the Condensed Consolidated Statements of Income and Comprehensive Income during the three months ended June 30, 2025.</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nonrecurring assets or liabilities measured using Level 3 inputs were not material as of September 30, 2026.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Supplier Financing Programs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various supplier finance programs, we agree to pay counterparties engaged as paying agents the stated amount of confirmed invoices from our designated suppliers on the original maturity date of the invoices. Under certain of these arrangements, we may also pay fees for the supplier finance platform and related support.</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Outstanding obligations confirmed under our supplier finance programs were $287.4 million and $210.1 million as of September 30, 2026 and December 31, 2025, respectively, and are included in Accounts payable within our Condensed 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0"/>
                <w:szCs w:val="20"/>
                <w:color w:val="auto"/>
              </w:rPr>
            </w:pPr>
            <w:r>
              <w:rPr>
                <w:rFonts w:ascii="Arial" w:cs="Arial" w:eastAsia="Arial" w:hAnsi="Arial"/>
                <w:sz w:val="18"/>
                <w:szCs w:val="18"/>
                <w:b w:val="1"/>
                <w:bCs w:val="1"/>
                <w:color w:val="auto"/>
              </w:rPr>
              <w:t>7. Debt, Interest Income, Expense, and Other Financing Costs</w:t>
            </w:r>
          </w:p>
        </w:tc>
        <w:tc>
          <w:tcPr>
            <w:tcW w:w="1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97"/>
        </w:trPr>
        <w:tc>
          <w:tcPr>
            <w:tcW w:w="672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3"/>
        </w:trPr>
        <w:tc>
          <w:tcPr>
            <w:tcW w:w="6720" w:type="dxa"/>
            <w:vAlign w:val="bottom"/>
          </w:tcPr>
          <w:p>
            <w:pPr>
              <w:spacing w:after="0"/>
              <w:rPr>
                <w:sz w:val="20"/>
                <w:szCs w:val="20"/>
                <w:color w:val="auto"/>
              </w:rPr>
            </w:pPr>
            <w:r>
              <w:rPr>
                <w:rFonts w:ascii="Arial" w:cs="Arial" w:eastAsia="Arial" w:hAnsi="Arial"/>
                <w:sz w:val="18"/>
                <w:szCs w:val="18"/>
                <w:color w:val="auto"/>
              </w:rPr>
              <w:t>Our outstanding debt consists of the following (in millions):</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1"/>
        </w:trPr>
        <w:tc>
          <w:tcPr>
            <w:tcW w:w="67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September 30, 2026</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December 31, 2025</w:t>
            </w:r>
          </w:p>
        </w:tc>
      </w:tr>
      <w:tr>
        <w:trPr>
          <w:trHeight w:val="234"/>
        </w:trPr>
        <w:tc>
          <w:tcPr>
            <w:tcW w:w="67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Credit Facility </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72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340.1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40"/>
        </w:trPr>
        <w:tc>
          <w:tcPr>
            <w:tcW w:w="672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Convertible Notes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r>
      <w:tr>
        <w:trPr>
          <w:trHeight w:val="240"/>
        </w:trPr>
        <w:tc>
          <w:tcPr>
            <w:tcW w:w="672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4"/>
        </w:trPr>
        <w:tc>
          <w:tcPr>
            <w:tcW w:w="672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693.8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697.1</w:t>
            </w:r>
          </w:p>
        </w:tc>
      </w:tr>
      <w:tr>
        <w:trPr>
          <w:trHeight w:val="24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 of long-term debt and finance leases</w:t>
            </w: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4"/>
        </w:trPr>
        <w:tc>
          <w:tcPr>
            <w:tcW w:w="6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683.9</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r>
      <w:tr>
        <w:trPr>
          <w:trHeight w:val="20"/>
        </w:trPr>
        <w:tc>
          <w:tcPr>
            <w:tcW w:w="6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ind w:left="320" w:hanging="313"/>
        <w:spacing w:after="0" w:line="227" w:lineRule="auto"/>
        <w:tabs>
          <w:tab w:leader="none" w:pos="31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The Fourth Amended and Restated Credit Agreement (as amended, the “Credit Agreement”) matures in November 2030 and provides for a term loan as well as a revolving credit facility of up to $1.65 billion (the "Credit Facility").</w:t>
      </w:r>
    </w:p>
    <w:p>
      <w:pPr>
        <w:spacing w:after="0" w:line="87" w:lineRule="exact"/>
        <w:rPr>
          <w:rFonts w:ascii="Arial" w:cs="Arial" w:eastAsia="Arial" w:hAnsi="Arial"/>
          <w:sz w:val="23"/>
          <w:szCs w:val="23"/>
          <w:color w:val="auto"/>
          <w:vertAlign w:val="superscript"/>
        </w:rPr>
      </w:pPr>
    </w:p>
    <w:p>
      <w:pPr>
        <w:jc w:val="both"/>
        <w:ind w:left="320" w:hanging="313"/>
        <w:spacing w:after="0"/>
        <w:tabs>
          <w:tab w:leader="none" w:pos="314"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Our 3.250% Convertible Senior Notes due 2028 (the "Convertible Notes") were issued in June 2023 and mature on July 1, 2028, unless earlier converted, redeemed or repurchased. As of September 30, 2026 and December 31, 2025, the net carrying amount of the Convertible Notes includes the aggregate principal amount of $350.0 million, net of unamortized debt issuance costs of $4.7 million and $6.6 million, respectively. As of September 30, 2026 and December 31, 2025, the fair value of the Convertible Notes was estimated to be approximately $475.6 million and $378.3 million, respectively, using the Level 2 observable input of quoted market prices in an inactive market.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Interest Income, Expense, and Other Financing Costs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Interest expense and other financing costs, net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312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7"/>
                <w:szCs w:val="17"/>
                <w:color w:val="auto"/>
              </w:rPr>
            </w:pPr>
          </w:p>
        </w:tc>
        <w:tc>
          <w:tcPr>
            <w:tcW w:w="276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rPr>
              <w:t>For the Nine Months Ended</w:t>
            </w:r>
          </w:p>
        </w:tc>
      </w:tr>
      <w:tr>
        <w:trPr>
          <w:trHeight w:val="240"/>
        </w:trPr>
        <w:tc>
          <w:tcPr>
            <w:tcW w:w="5120" w:type="dxa"/>
            <w:vAlign w:val="bottom"/>
          </w:tcPr>
          <w:p>
            <w:pPr>
              <w:spacing w:after="0"/>
              <w:rPr>
                <w:sz w:val="20"/>
                <w:szCs w:val="20"/>
                <w:color w:val="auto"/>
              </w:rPr>
            </w:pPr>
          </w:p>
        </w:tc>
        <w:tc>
          <w:tcPr>
            <w:tcW w:w="248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r>
      <w:tr>
        <w:trPr>
          <w:trHeight w:val="234"/>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w:t>
            </w:r>
          </w:p>
        </w:tc>
        <w:tc>
          <w:tcPr>
            <w:tcW w:w="9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(33.4)</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(28.4)</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4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5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and other financing costs, net</w:t>
            </w:r>
          </w:p>
        </w:tc>
        <w:tc>
          <w:tcPr>
            <w:tcW w:w="9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(30.8)</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(25.9)</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23, 2023, one of our subsidiaries submitted an erroneous bid in the Finnish power market. During the fourth quarter of 2023, the Company recognized related extraordinary losses totaling $48.8 million, which were primarily included in Cost of revenue in the accompanying Condensed Consolidated Statements of Income and Comprehensive Income. In December 2023, the subsidiary received a request for information from Energiavirasto, the Finnish energy regulatory authority ("EA") indicating that EA had initiated an investigation in relation to the events surrounding the erroneous bid submission. On December 11, 2025, EA issued its decision in which it found the subsidiary had breached the prohibition on market manipulation in wholesale energy markets under E.U. law. On April 23, 2026, the EA submitted a recommendation to the Finnish Market Court that it impose a penalty fee in the amount of $10.5 million (EUR 9.3 million). We believe the EA’s penalty payment proposal should be dismissed as unfounded and are defending against the proposal before the Finnish Market Court. The Finnish Market Court will ultimately determine whether any penalty should be assessed and, if so, the amount.</w:t>
      </w:r>
    </w:p>
    <w:p>
      <w:pPr>
        <w:spacing w:after="0" w:line="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are also under review by various domestic and foreign tax authorities regarding indirect tax matters and are involved in various challenges and litigation in a number of countries, including, in particular, South Korea, where the amounts in controversy may be material. During 2016 and 2017, the South Korean branch of one of our subsidiaries received assessments totaling approximately $25.3 million (KRW 34.3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we have substantial defenses to these assessments and expect to continue to pursue available administrative and judicial remedies to resolve this matter.</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loss provisions for claims and other matters in which losses are probable and can be reasonably estimated. As of September 30, 2026, our reserves for such claims were not material. For those matters where a reserve has not been established and for which we believe a loss is reasonably possible, we believe that such losses will not have a material adverse effect on our Condensed Consolidated Financial Statements. However, any adverse resolution of one or more such claims, complaints or proceedings during a particular period could have a material adverse effect on our Condensed Consolidated Financial Statements or disclosures for that period.</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will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See Note 11. Income Taxes for information regarding tax returns under examination both in the United States ("U.S.") and foreign jurisdictions, including the examinations currently in progress in Denmark.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nine months ended September 30, 2026, the Company's Board of Directors (the "Board") declared quarterly cash dividends of $0.20, $0.23, and $0.23 per common share representing first, second, and third quarter dividends of $10.2 million, $11.7 million, and $11.7 million, which were paid on April 16, 2026, July 16, 2026, and October 16, 2026, respectively. During the nine months ended September 30, 2025, the Board declared quarterly cash dividends of $0.17, $0.20, and $0.20 per common share representing first, second, and third quarter dividends of $9.6 million, $11.0 million, and $11.0 million, which were paid on April 16, 2025, July 16, 2025, and October 16, 2025,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Accumulated other comprehensive income (loss) consists of foreign currency translation adjustments related to our subsidiaries that have a functional currency other than the U.S. dollar and unrealized gains (losses) from derivative instruments designated as cash flow hedges. The after-tax changes in Accumulated other comprehensive income (loss) by component were as follows (in millions):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134225" cy="161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6129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34225" cy="228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228600"/>
                    </a:xfrm>
                    <a:prstGeom prst="rect">
                      <a:avLst/>
                    </a:prstGeom>
                    <a:noFill/>
                  </pic:spPr>
                </pic:pic>
              </a:graphicData>
            </a:graphic>
          </wp:anchor>
        </w:drawing>
      </w:r>
    </w:p>
    <w:p>
      <w:pPr>
        <w:ind w:left="20"/>
        <w:spacing w:after="0" w:line="211" w:lineRule="auto"/>
        <w:rPr>
          <w:sz w:val="20"/>
          <w:szCs w:val="20"/>
          <w:color w:val="auto"/>
        </w:rPr>
      </w:pPr>
      <w:r>
        <w:rPr>
          <w:rFonts w:ascii="Arial" w:cs="Arial" w:eastAsia="Arial" w:hAnsi="Arial"/>
          <w:sz w:val="17"/>
          <w:szCs w:val="17"/>
          <w:color w:val="auto"/>
        </w:rPr>
        <w:t>Amounts reclassified from Accumulated other comprehensive income (loss)</w:t>
      </w:r>
    </w:p>
    <w:p>
      <w:pPr>
        <w:ind w:left="20"/>
        <w:spacing w:after="0"/>
        <w:rPr>
          <w:sz w:val="20"/>
          <w:szCs w:val="20"/>
          <w:color w:val="auto"/>
        </w:rPr>
      </w:pPr>
      <w:r>
        <w:rPr>
          <w:rFonts w:ascii="Arial" w:cs="Arial" w:eastAsia="Arial" w:hAnsi="Arial"/>
          <w:sz w:val="12"/>
          <w:szCs w:val="12"/>
          <w:color w:val="auto"/>
        </w:rPr>
        <w:t>(1)</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184150</wp:posOffset>
            </wp:positionV>
            <wp:extent cx="7134225" cy="152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8"/>
              </w:rPr>
              <w:t>Foreign Currency</w:t>
            </w:r>
          </w:p>
        </w:tc>
        <w:tc>
          <w:tcPr>
            <w:tcW w:w="200" w:type="dxa"/>
            <w:vAlign w:val="bottom"/>
          </w:tcPr>
          <w:p>
            <w:pPr>
              <w:spacing w:after="0"/>
              <w:rPr>
                <w:sz w:val="17"/>
                <w:szCs w:val="17"/>
                <w:color w:val="auto"/>
              </w:rPr>
            </w:pPr>
          </w:p>
        </w:tc>
        <w:tc>
          <w:tcPr>
            <w:tcW w:w="140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9"/>
              </w:rPr>
              <w:t>Cash Flow</w:t>
            </w: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Accumulated Other</w:t>
            </w:r>
          </w:p>
        </w:tc>
        <w:tc>
          <w:tcPr>
            <w:tcW w:w="0" w:type="dxa"/>
            <w:vAlign w:val="bottom"/>
          </w:tcPr>
          <w:p>
            <w:pPr>
              <w:spacing w:after="0"/>
              <w:rPr>
                <w:sz w:val="1"/>
                <w:szCs w:val="1"/>
                <w:color w:val="auto"/>
              </w:rPr>
            </w:pPr>
          </w:p>
        </w:tc>
      </w:tr>
      <w:tr>
        <w:trPr>
          <w:trHeight w:val="173"/>
        </w:trPr>
        <w:tc>
          <w:tcPr>
            <w:tcW w:w="200" w:type="dxa"/>
            <w:vAlign w:val="bottom"/>
          </w:tcPr>
          <w:p>
            <w:pPr>
              <w:spacing w:after="0"/>
              <w:rPr>
                <w:sz w:val="15"/>
                <w:szCs w:val="15"/>
                <w:color w:val="auto"/>
              </w:rPr>
            </w:pPr>
          </w:p>
        </w:tc>
        <w:tc>
          <w:tcPr>
            <w:tcW w:w="1560" w:type="dxa"/>
            <w:vAlign w:val="bottom"/>
            <w:gridSpan w:val="2"/>
          </w:tcPr>
          <w:p>
            <w:pPr>
              <w:jc w:val="center"/>
              <w:ind w:right="340"/>
              <w:spacing w:after="0" w:line="174" w:lineRule="exact"/>
              <w:rPr>
                <w:sz w:val="20"/>
                <w:szCs w:val="20"/>
                <w:color w:val="auto"/>
              </w:rPr>
            </w:pPr>
            <w:r>
              <w:rPr>
                <w:rFonts w:ascii="Arial" w:cs="Arial" w:eastAsia="Arial" w:hAnsi="Arial"/>
                <w:sz w:val="18"/>
                <w:szCs w:val="18"/>
                <w:b w:val="1"/>
                <w:bCs w:val="1"/>
                <w:color w:val="auto"/>
                <w:w w:val="96"/>
              </w:rPr>
              <w:t>Translation</w:t>
            </w:r>
          </w:p>
        </w:tc>
        <w:tc>
          <w:tcPr>
            <w:tcW w:w="2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center"/>
              <w:ind w:right="91"/>
              <w:spacing w:after="0" w:line="174" w:lineRule="exact"/>
              <w:rPr>
                <w:sz w:val="20"/>
                <w:szCs w:val="20"/>
                <w:color w:val="auto"/>
              </w:rPr>
            </w:pPr>
            <w:r>
              <w:rPr>
                <w:rFonts w:ascii="Arial" w:cs="Arial" w:eastAsia="Arial" w:hAnsi="Arial"/>
                <w:sz w:val="18"/>
                <w:szCs w:val="18"/>
                <w:b w:val="1"/>
                <w:bCs w:val="1"/>
                <w:color w:val="auto"/>
                <w:w w:val="99"/>
              </w:rPr>
              <w:t>Comprehensive</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Adjustments</w:t>
            </w:r>
          </w:p>
        </w:tc>
        <w:tc>
          <w:tcPr>
            <w:tcW w:w="20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Hedges</w:t>
            </w:r>
          </w:p>
        </w:tc>
        <w:tc>
          <w:tcPr>
            <w:tcW w:w="180" w:type="dxa"/>
            <w:vAlign w:val="bottom"/>
          </w:tcPr>
          <w:p>
            <w:pPr>
              <w:spacing w:after="0"/>
              <w:rPr>
                <w:sz w:val="20"/>
                <w:szCs w:val="20"/>
                <w:color w:val="auto"/>
              </w:rPr>
            </w:pPr>
          </w:p>
        </w:tc>
        <w:tc>
          <w:tcPr>
            <w:tcW w:w="168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Income (Loss)</w:t>
            </w:r>
          </w:p>
        </w:tc>
        <w:tc>
          <w:tcPr>
            <w:tcW w:w="0" w:type="dxa"/>
            <w:vAlign w:val="bottom"/>
          </w:tcPr>
          <w:p>
            <w:pPr>
              <w:spacing w:after="0"/>
              <w:rPr>
                <w:sz w:val="1"/>
                <w:szCs w:val="1"/>
                <w:color w:val="auto"/>
              </w:rPr>
            </w:pPr>
          </w:p>
        </w:tc>
      </w:tr>
      <w:tr>
        <w:trPr>
          <w:trHeight w:val="236"/>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center"/>
              <w:ind w:left="1091"/>
              <w:spacing w:after="0"/>
              <w:rPr>
                <w:sz w:val="20"/>
                <w:szCs w:val="20"/>
                <w:color w:val="auto"/>
              </w:rPr>
            </w:pPr>
            <w:r>
              <w:rPr>
                <w:rFonts w:ascii="Arial" w:cs="Arial" w:eastAsia="Arial" w:hAnsi="Arial"/>
                <w:sz w:val="18"/>
                <w:szCs w:val="18"/>
                <w:color w:val="auto"/>
                <w:w w:val="97"/>
              </w:rPr>
              <w:t>(17.3)</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center"/>
              <w:ind w:left="1091"/>
              <w:spacing w:after="0"/>
              <w:rPr>
                <w:sz w:val="20"/>
                <w:szCs w:val="20"/>
                <w:color w:val="auto"/>
              </w:rPr>
            </w:pPr>
            <w:r>
              <w:rPr>
                <w:rFonts w:ascii="Arial" w:cs="Arial" w:eastAsia="Arial" w:hAnsi="Arial"/>
                <w:sz w:val="18"/>
                <w:szCs w:val="18"/>
                <w:color w:val="auto"/>
                <w:w w:val="97"/>
              </w:rPr>
              <w:t>(73.3)</w:t>
            </w:r>
          </w:p>
        </w:tc>
        <w:tc>
          <w:tcPr>
            <w:tcW w:w="0" w:type="dxa"/>
            <w:vAlign w:val="bottom"/>
          </w:tcPr>
          <w:p>
            <w:pPr>
              <w:spacing w:after="0"/>
              <w:rPr>
                <w:sz w:val="1"/>
                <w:szCs w:val="1"/>
                <w:color w:val="auto"/>
              </w:rPr>
            </w:pPr>
          </w:p>
        </w:tc>
      </w:tr>
      <w:tr>
        <w:trPr>
          <w:trHeight w:val="358"/>
        </w:trPr>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6"/>
              </w:rPr>
              <w:t>43.3</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center"/>
              <w:ind w:left="1091"/>
              <w:spacing w:after="0"/>
              <w:rPr>
                <w:sz w:val="20"/>
                <w:szCs w:val="20"/>
                <w:color w:val="auto"/>
              </w:rPr>
            </w:pPr>
            <w:r>
              <w:rPr>
                <w:rFonts w:ascii="Arial" w:cs="Arial" w:eastAsia="Arial" w:hAnsi="Arial"/>
                <w:sz w:val="18"/>
                <w:szCs w:val="18"/>
                <w:color w:val="auto"/>
                <w:w w:val="97"/>
              </w:rPr>
              <w:t>(47.3)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960" w:space="60"/>
            <w:col w:w="5220"/>
          </w:cols>
          <w:pgMar w:left="320" w:top="1097" w:right="339" w:bottom="1440" w:gutter="0" w:footer="0" w:header="0"/>
          <w:type w:val="continuous"/>
        </w:sectPr>
      </w:pPr>
    </w:p>
    <w:p>
      <w:pPr>
        <w:spacing w:after="0" w:line="50"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Balance as of January 1, 2025</w:t>
      </w:r>
      <w:r>
        <w:rPr>
          <w:sz w:val="20"/>
          <w:szCs w:val="20"/>
          <w:color w:val="auto"/>
        </w:rPr>
        <w:tab/>
      </w:r>
      <w:r>
        <w:rPr>
          <w:rFonts w:ascii="Arial" w:cs="Arial" w:eastAsia="Arial" w:hAnsi="Arial"/>
          <w:sz w:val="17"/>
          <w:szCs w:val="17"/>
          <w:color w:val="auto"/>
        </w:rPr>
        <w:t>$</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34225" cy="228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228600"/>
                    </a:xfrm>
                    <a:prstGeom prst="rect">
                      <a:avLst/>
                    </a:prstGeom>
                    <a:noFill/>
                  </pic:spPr>
                </pic:pic>
              </a:graphicData>
            </a:graphic>
          </wp:anchor>
        </w:drawing>
      </w:r>
    </w:p>
    <w:p>
      <w:pPr>
        <w:ind w:left="20"/>
        <w:spacing w:after="0" w:line="199" w:lineRule="auto"/>
        <w:rPr>
          <w:sz w:val="20"/>
          <w:szCs w:val="20"/>
          <w:color w:val="auto"/>
        </w:rPr>
      </w:pPr>
      <w:r>
        <w:rPr>
          <w:rFonts w:ascii="Arial" w:cs="Arial" w:eastAsia="Arial" w:hAnsi="Arial"/>
          <w:sz w:val="18"/>
          <w:szCs w:val="18"/>
          <w:color w:val="auto"/>
        </w:rPr>
        <w:t>Amounts reclassified from Accumulated other comprehensive income (loss)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2"/>
          <w:szCs w:val="12"/>
          <w:color w:val="auto"/>
        </w:rPr>
        <w:t>(2)</w:t>
      </w:r>
    </w:p>
    <w:p>
      <w:pPr>
        <w:spacing w:after="0" w:line="96"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Balance as of September 30, 2025</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40" w:type="dxa"/>
            <w:vAlign w:val="bottom"/>
          </w:tcPr>
          <w:p>
            <w:pPr>
              <w:jc w:val="center"/>
              <w:ind w:right="71"/>
              <w:spacing w:after="0"/>
              <w:rPr>
                <w:sz w:val="20"/>
                <w:szCs w:val="20"/>
                <w:color w:val="auto"/>
              </w:rPr>
            </w:pPr>
            <w:r>
              <w:rPr>
                <w:rFonts w:ascii="Arial" w:cs="Arial" w:eastAsia="Arial" w:hAnsi="Arial"/>
                <w:sz w:val="18"/>
                <w:szCs w:val="18"/>
                <w:color w:val="auto"/>
              </w:rPr>
              <w:t>(92.2)</w:t>
            </w:r>
          </w:p>
        </w:tc>
        <w:tc>
          <w:tcPr>
            <w:tcW w:w="580" w:type="dxa"/>
            <w:vAlign w:val="bottom"/>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tcPr>
          <w:p>
            <w:pPr>
              <w:jc w:val="center"/>
              <w:ind w:left="391"/>
              <w:spacing w:after="0"/>
              <w:rPr>
                <w:sz w:val="20"/>
                <w:szCs w:val="20"/>
                <w:color w:val="auto"/>
              </w:rPr>
            </w:pPr>
            <w:r>
              <w:rPr>
                <w:rFonts w:ascii="Arial" w:cs="Arial" w:eastAsia="Arial" w:hAnsi="Arial"/>
                <w:sz w:val="18"/>
                <w:szCs w:val="18"/>
                <w:color w:val="auto"/>
                <w:w w:val="95"/>
              </w:rPr>
              <w:t>1.2</w:t>
            </w:r>
          </w:p>
        </w:tc>
        <w:tc>
          <w:tcPr>
            <w:tcW w:w="140" w:type="dxa"/>
            <w:vAlign w:val="bottom"/>
          </w:tcPr>
          <w:p>
            <w:pPr>
              <w:spacing w:after="0"/>
              <w:rPr>
                <w:sz w:val="20"/>
                <w:szCs w:val="20"/>
                <w:color w:val="auto"/>
              </w:rPr>
            </w:pPr>
          </w:p>
        </w:tc>
        <w:tc>
          <w:tcPr>
            <w:tcW w:w="740" w:type="dxa"/>
            <w:vAlign w:val="bottom"/>
          </w:tcPr>
          <w:p>
            <w:pPr>
              <w:jc w:val="right"/>
              <w:ind w:right="5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531"/>
              <w:spacing w:after="0"/>
              <w:rPr>
                <w:sz w:val="20"/>
                <w:szCs w:val="20"/>
                <w:color w:val="auto"/>
              </w:rPr>
            </w:pPr>
            <w:r>
              <w:rPr>
                <w:rFonts w:ascii="Arial" w:cs="Arial" w:eastAsia="Arial" w:hAnsi="Arial"/>
                <w:sz w:val="18"/>
                <w:szCs w:val="18"/>
                <w:color w:val="auto"/>
                <w:w w:val="97"/>
              </w:rPr>
              <w:t>(91.0)</w:t>
            </w:r>
          </w:p>
        </w:tc>
      </w:tr>
      <w:tr>
        <w:trPr>
          <w:trHeight w:val="240"/>
        </w:trPr>
        <w:tc>
          <w:tcPr>
            <w:tcW w:w="640" w:type="dxa"/>
            <w:vAlign w:val="bottom"/>
          </w:tcPr>
          <w:p>
            <w:pPr>
              <w:jc w:val="center"/>
              <w:ind w:right="51"/>
              <w:spacing w:after="0"/>
              <w:rPr>
                <w:sz w:val="20"/>
                <w:szCs w:val="20"/>
                <w:color w:val="auto"/>
              </w:rPr>
            </w:pPr>
            <w:r>
              <w:rPr>
                <w:rFonts w:ascii="Arial" w:cs="Arial" w:eastAsia="Arial" w:hAnsi="Arial"/>
                <w:sz w:val="18"/>
                <w:szCs w:val="18"/>
                <w:color w:val="auto"/>
                <w:w w:val="96"/>
              </w:rPr>
              <w:t>18.9</w:t>
            </w:r>
          </w:p>
        </w:tc>
        <w:tc>
          <w:tcPr>
            <w:tcW w:w="580" w:type="dxa"/>
            <w:vAlign w:val="bottom"/>
          </w:tcPr>
          <w:p>
            <w:pPr>
              <w:spacing w:after="0"/>
              <w:rPr>
                <w:sz w:val="20"/>
                <w:szCs w:val="20"/>
                <w:color w:val="auto"/>
              </w:rPr>
            </w:pPr>
          </w:p>
        </w:tc>
        <w:tc>
          <w:tcPr>
            <w:tcW w:w="880" w:type="dxa"/>
            <w:vAlign w:val="bottom"/>
          </w:tcPr>
          <w:p>
            <w:pPr>
              <w:jc w:val="center"/>
              <w:ind w:left="371"/>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jc w:val="center"/>
              <w:ind w:left="531"/>
              <w:spacing w:after="0"/>
              <w:rPr>
                <w:sz w:val="20"/>
                <w:szCs w:val="20"/>
                <w:color w:val="auto"/>
              </w:rPr>
            </w:pPr>
            <w:r>
              <w:rPr>
                <w:rFonts w:ascii="Arial" w:cs="Arial" w:eastAsia="Arial" w:hAnsi="Arial"/>
                <w:sz w:val="18"/>
                <w:szCs w:val="18"/>
                <w:color w:val="auto"/>
                <w:w w:val="96"/>
              </w:rPr>
              <w:t>10.2</w:t>
            </w:r>
          </w:p>
        </w:tc>
      </w:tr>
      <w:tr>
        <w:trPr>
          <w:trHeight w:val="358"/>
        </w:trPr>
        <w:tc>
          <w:tcPr>
            <w:tcW w:w="640" w:type="dxa"/>
            <w:vAlign w:val="bottom"/>
          </w:tcPr>
          <w:p>
            <w:pPr>
              <w:jc w:val="center"/>
              <w:ind w:right="51"/>
              <w:spacing w:after="0"/>
              <w:rPr>
                <w:sz w:val="20"/>
                <w:szCs w:val="20"/>
                <w:color w:val="auto"/>
              </w:rPr>
            </w:pPr>
            <w:r>
              <w:rPr>
                <w:rFonts w:ascii="Arial" w:cs="Arial" w:eastAsia="Arial" w:hAnsi="Arial"/>
                <w:sz w:val="18"/>
                <w:szCs w:val="18"/>
                <w:color w:val="auto"/>
                <w:w w:val="96"/>
              </w:rPr>
              <w:t>55.1</w:t>
            </w: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5"/>
              </w:rPr>
              <w:t>7.2</w:t>
            </w:r>
          </w:p>
        </w:tc>
        <w:tc>
          <w:tcPr>
            <w:tcW w:w="1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color w:val="auto"/>
                <w:w w:val="96"/>
              </w:rPr>
              <w:t>62.3</w:t>
            </w:r>
          </w:p>
        </w:tc>
      </w:tr>
      <w:tr>
        <w:trPr>
          <w:trHeight w:val="234"/>
        </w:trPr>
        <w:tc>
          <w:tcPr>
            <w:tcW w:w="640" w:type="dxa"/>
            <w:vAlign w:val="bottom"/>
          </w:tcPr>
          <w:p>
            <w:pPr>
              <w:jc w:val="center"/>
              <w:ind w:right="71"/>
              <w:spacing w:after="0"/>
              <w:rPr>
                <w:sz w:val="20"/>
                <w:szCs w:val="20"/>
                <w:color w:val="auto"/>
              </w:rPr>
            </w:pPr>
            <w:r>
              <w:rPr>
                <w:rFonts w:ascii="Arial" w:cs="Arial" w:eastAsia="Arial" w:hAnsi="Arial"/>
                <w:sz w:val="18"/>
                <w:szCs w:val="18"/>
                <w:color w:val="auto"/>
              </w:rPr>
              <w:t>(18.2)</w:t>
            </w:r>
          </w:p>
        </w:tc>
        <w:tc>
          <w:tcPr>
            <w:tcW w:w="5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center"/>
              <w:ind w:left="371"/>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7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color w:val="auto"/>
                <w:w w:val="97"/>
              </w:rPr>
              <w:t>(18.5)</w:t>
            </w:r>
          </w:p>
        </w:tc>
      </w:tr>
      <w:tr>
        <w:trPr>
          <w:trHeight w:val="20"/>
        </w:trPr>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-194310</wp:posOffset>
            </wp:positionV>
            <wp:extent cx="1024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-33020</wp:posOffset>
            </wp:positionV>
            <wp:extent cx="1024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4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-7620</wp:posOffset>
            </wp:positionV>
            <wp:extent cx="1024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6420" w:space="720"/>
            <w:col w:w="4100"/>
          </w:cols>
          <w:pgMar w:left="320" w:top="1097" w:right="339" w:bottom="1440" w:gutter="0" w:footer="0" w:header="0"/>
          <w:type w:val="continuous"/>
        </w:sectPr>
      </w:pPr>
    </w:p>
    <w:p>
      <w:pPr>
        <w:ind w:left="320" w:hanging="313"/>
        <w:spacing w:after="0" w:line="227" w:lineRule="auto"/>
        <w:tabs>
          <w:tab w:leader="none" w:pos="31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During the nine months ended September 30, 2026, cumulative translation gains were reclassified from Accumulated other comprehensive income (loss) into net income as a result of divestitures during the period.</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During the nine months ended September 30, 2025, cumulative translation losses were reclassified from Accumulated other comprehensive income (loss) into net income as a result of divestitures during the period.</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in which we conduct business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7"/>
                <w:szCs w:val="17"/>
                <w:color w:val="auto"/>
              </w:rPr>
            </w:pPr>
          </w:p>
        </w:tc>
        <w:tc>
          <w:tcPr>
            <w:tcW w:w="2860" w:type="dxa"/>
            <w:vAlign w:val="bottom"/>
            <w:gridSpan w:val="4"/>
          </w:tcPr>
          <w:p>
            <w:pPr>
              <w:jc w:val="right"/>
              <w:ind w:right="331"/>
              <w:spacing w:after="0"/>
              <w:rPr>
                <w:sz w:val="20"/>
                <w:szCs w:val="20"/>
                <w:color w:val="auto"/>
              </w:rPr>
            </w:pPr>
            <w:r>
              <w:rPr>
                <w:rFonts w:ascii="Arial" w:cs="Arial" w:eastAsia="Arial" w:hAnsi="Arial"/>
                <w:sz w:val="18"/>
                <w:szCs w:val="18"/>
                <w:b w:val="1"/>
                <w:bCs w:val="1"/>
                <w:color w:val="auto"/>
              </w:rPr>
              <w:t>For the Nine Months Ended</w:t>
            </w:r>
          </w:p>
        </w:tc>
      </w:tr>
      <w:tr>
        <w:trPr>
          <w:trHeight w:val="240"/>
        </w:trPr>
        <w:tc>
          <w:tcPr>
            <w:tcW w:w="4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4"/>
        </w:trPr>
        <w:tc>
          <w:tcPr>
            <w:tcW w:w="48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w w:val="94"/>
              </w:rPr>
              <w:t>2025</w:t>
            </w:r>
          </w:p>
        </w:tc>
      </w:tr>
      <w:tr>
        <w:trPr>
          <w:trHeight w:val="234"/>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w:t>
            </w:r>
          </w:p>
        </w:tc>
      </w:tr>
      <w:tr>
        <w:trPr>
          <w:trHeight w:val="240"/>
        </w:trPr>
        <w:tc>
          <w:tcPr>
            <w:tcW w:w="4860" w:type="dxa"/>
            <w:vAlign w:val="bottom"/>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24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3,409.2</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2,602.7</w:t>
            </w:r>
          </w:p>
        </w:tc>
      </w:tr>
      <w:tr>
        <w:trPr>
          <w:trHeight w:val="234"/>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1,554.3</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4,425.8</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3,390.4</w:t>
            </w:r>
          </w:p>
        </w:tc>
      </w:tr>
      <w:tr>
        <w:trPr>
          <w:trHeight w:val="247"/>
        </w:trPr>
        <w:tc>
          <w:tcPr>
            <w:tcW w:w="4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0"/>
        </w:trPr>
        <w:tc>
          <w:tcPr>
            <w:tcW w:w="4860" w:type="dxa"/>
            <w:vAlign w:val="bottom"/>
          </w:tcPr>
          <w:p>
            <w:pPr>
              <w:ind w:left="20"/>
              <w:spacing w:after="0"/>
              <w:rPr>
                <w:sz w:val="20"/>
                <w:szCs w:val="20"/>
                <w:color w:val="auto"/>
              </w:rPr>
            </w:pPr>
            <w:r>
              <w:rPr>
                <w:rFonts w:ascii="Arial" w:cs="Arial" w:eastAsia="Arial" w:hAnsi="Arial"/>
                <w:sz w:val="18"/>
                <w:szCs w:val="18"/>
                <w:color w:val="auto"/>
              </w:rPr>
              <w:t>Aviation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2,122.3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5,228.6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3,355.9</w:t>
            </w:r>
          </w:p>
        </w:tc>
      </w:tr>
      <w:tr>
        <w:trPr>
          <w:trHeight w:val="24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w:t>
            </w:r>
          </w:p>
        </w:tc>
      </w:tr>
      <w:tr>
        <w:trPr>
          <w:trHeight w:val="24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1,914.0</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1,521.7</w:t>
            </w:r>
          </w:p>
        </w:tc>
      </w:tr>
      <w:tr>
        <w:trPr>
          <w:trHeight w:val="234"/>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2,981.4</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2,149.5</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7,682.4</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6,074.8</w:t>
            </w:r>
          </w:p>
        </w:tc>
      </w:tr>
      <w:tr>
        <w:trPr>
          <w:trHeight w:val="247"/>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2,746.9</w:t>
            </w:r>
          </w:p>
        </w:tc>
      </w:tr>
      <w:tr>
        <w:trPr>
          <w:trHeight w:val="240"/>
        </w:trPr>
        <w:tc>
          <w:tcPr>
            <w:tcW w:w="4860" w:type="dxa"/>
            <w:vAlign w:val="bottom"/>
          </w:tcPr>
          <w:p>
            <w:pPr>
              <w:ind w:left="20"/>
              <w:spacing w:after="0"/>
              <w:rPr>
                <w:sz w:val="20"/>
                <w:szCs w:val="20"/>
                <w:color w:val="auto"/>
              </w:rPr>
            </w:pPr>
            <w:r>
              <w:rPr>
                <w:rFonts w:ascii="Arial" w:cs="Arial" w:eastAsia="Arial" w:hAnsi="Arial"/>
                <w:sz w:val="18"/>
                <w:szCs w:val="18"/>
                <w:color w:val="auto"/>
              </w:rPr>
              <w:t>Land</w:t>
            </w: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4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w:t>
            </w:r>
          </w:p>
        </w:tc>
      </w:tr>
      <w:tr>
        <w:trPr>
          <w:trHeight w:val="234"/>
        </w:trPr>
        <w:tc>
          <w:tcPr>
            <w:tcW w:w="4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LATAM</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1,643.7</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4,813.1</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3,293.0</w:t>
            </w:r>
          </w:p>
        </w:tc>
      </w:tr>
      <w:tr>
        <w:trPr>
          <w:trHeight w:val="247"/>
        </w:trPr>
        <w:tc>
          <w:tcPr>
            <w:tcW w:w="4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0"/>
        </w:trPr>
        <w:tc>
          <w:tcPr>
            <w:tcW w:w="4860" w:type="dxa"/>
            <w:vAlign w:val="bottom"/>
          </w:tcPr>
          <w:p>
            <w:pPr>
              <w:ind w:left="20"/>
              <w:spacing w:after="0"/>
              <w:rPr>
                <w:sz w:val="20"/>
                <w:szCs w:val="20"/>
                <w:color w:val="auto"/>
              </w:rPr>
            </w:pPr>
            <w:r>
              <w:rPr>
                <w:rFonts w:ascii="Arial" w:cs="Arial" w:eastAsia="Arial" w:hAnsi="Arial"/>
                <w:sz w:val="18"/>
                <w:szCs w:val="18"/>
                <w:color w:val="auto"/>
              </w:rPr>
              <w:t>Aviation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3,744.9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2,392.6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10,264.8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7,396.5</w:t>
            </w:r>
          </w:p>
        </w:tc>
      </w:tr>
      <w:tr>
        <w:trPr>
          <w:trHeight w:val="24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7,720.1</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6,570.9</w:t>
            </w:r>
          </w:p>
        </w:tc>
      </w:tr>
      <w:tr>
        <w:trPr>
          <w:trHeight w:val="24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Marine</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1,669.2</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w:t>
            </w:r>
          </w:p>
        </w:tc>
      </w:tr>
      <w:tr>
        <w:trPr>
          <w:trHeight w:val="234"/>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7,119.3</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5,066.8</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19,654.1</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15,109.8</w:t>
            </w:r>
          </w:p>
        </w:tc>
      </w:tr>
      <w:tr>
        <w:trPr>
          <w:trHeight w:val="247"/>
        </w:trPr>
        <w:tc>
          <w:tcPr>
            <w:tcW w:w="4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0"/>
        </w:trPr>
        <w:tc>
          <w:tcPr>
            <w:tcW w:w="486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Other revenues (excluded from ASC 606)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67"/>
        </w:trPr>
        <w:tc>
          <w:tcPr>
            <w:tcW w:w="48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5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13,270.7</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36,546.9</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27,887.6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80" w:hanging="273"/>
        <w:spacing w:after="0"/>
        <w:tabs>
          <w:tab w:leader="none" w:pos="28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revenue from derivatives, leases, and other transactions that we account for under separate guidance.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Contract Assets and Contract Liabilities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nature of the receivables related to revenue from contracts with customers and other types of contracts (excluded from ASC 606) are substantially similar, as they are both generated from transactions with the same type of counterparties (e.g., sale of fuel and storage that meet the definition of a lease with the same counterparty) and are entered into utilizing the same credit approval and monitoring procedures for all customers. As such, we believe the risk associated with the cash flows from the different types of receivables is not meaningful to separately disaggregate the accounts receivable balance presented on our Condensed Consolidated Balance Sheets. As of September 30, 2026 and December 31, 2025, the contract assets and contract liabilities recognized by the Company were not material.</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11.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and the respective effective income tax rates are as follows (in millions, except for income tax rates):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9"/>
              </w:rPr>
              <w:t>For the Three Months Ended</w:t>
            </w:r>
          </w:p>
        </w:tc>
        <w:tc>
          <w:tcPr>
            <w:tcW w:w="280" w:type="dxa"/>
            <w:vAlign w:val="bottom"/>
          </w:tcPr>
          <w:p>
            <w:pPr>
              <w:spacing w:after="0"/>
              <w:rPr>
                <w:sz w:val="17"/>
                <w:szCs w:val="17"/>
                <w:color w:val="auto"/>
              </w:rPr>
            </w:pPr>
          </w:p>
        </w:tc>
        <w:tc>
          <w:tcPr>
            <w:tcW w:w="2940" w:type="dxa"/>
            <w:vAlign w:val="bottom"/>
            <w:gridSpan w:val="4"/>
          </w:tcPr>
          <w:p>
            <w:pPr>
              <w:jc w:val="center"/>
              <w:ind w:right="191"/>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40"/>
        </w:trPr>
        <w:tc>
          <w:tcPr>
            <w:tcW w:w="4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651"/>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631"/>
              <w:spacing w:after="0"/>
              <w:rPr>
                <w:sz w:val="20"/>
                <w:szCs w:val="20"/>
                <w:color w:val="auto"/>
              </w:rPr>
            </w:pPr>
            <w:r>
              <w:rPr>
                <w:rFonts w:ascii="Arial" w:cs="Arial" w:eastAsia="Arial" w:hAnsi="Arial"/>
                <w:sz w:val="18"/>
                <w:szCs w:val="18"/>
                <w:b w:val="1"/>
                <w:bCs w:val="1"/>
                <w:color w:val="auto"/>
                <w:w w:val="99"/>
              </w:rPr>
              <w:t>September 30,</w:t>
            </w:r>
          </w:p>
        </w:tc>
        <w:tc>
          <w:tcPr>
            <w:tcW w:w="1000" w:type="dxa"/>
            <w:vAlign w:val="bottom"/>
            <w:tcBorders>
              <w:bottom w:val="single" w:sz="8" w:color="auto"/>
            </w:tcBorders>
          </w:tcPr>
          <w:p>
            <w:pPr>
              <w:spacing w:after="0"/>
              <w:rPr>
                <w:sz w:val="20"/>
                <w:szCs w:val="20"/>
                <w:color w:val="auto"/>
              </w:rPr>
            </w:pPr>
          </w:p>
        </w:tc>
      </w:tr>
      <w:tr>
        <w:trPr>
          <w:trHeight w:val="234"/>
        </w:trPr>
        <w:tc>
          <w:tcPr>
            <w:tcW w:w="46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99"/>
              </w:rPr>
              <w:t>2025</w:t>
            </w:r>
          </w:p>
        </w:tc>
        <w:tc>
          <w:tcPr>
            <w:tcW w:w="1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w w:val="99"/>
              </w:rPr>
              <w:t>2025</w:t>
            </w:r>
          </w:p>
        </w:tc>
      </w:tr>
      <w:tr>
        <w:trPr>
          <w:trHeight w:val="234"/>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(105.8)</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80" w:type="dxa"/>
            <w:vAlign w:val="bottom"/>
          </w:tcPr>
          <w:p>
            <w:pPr>
              <w:spacing w:after="0"/>
              <w:rPr>
                <w:sz w:val="21"/>
                <w:szCs w:val="21"/>
                <w:color w:val="auto"/>
              </w:rPr>
            </w:pPr>
          </w:p>
        </w:tc>
        <w:tc>
          <w:tcPr>
            <w:tcW w:w="1280" w:type="dxa"/>
            <w:vAlign w:val="bottom"/>
          </w:tcPr>
          <w:p>
            <w:pPr>
              <w:ind w:left="700"/>
              <w:spacing w:after="0"/>
              <w:rPr>
                <w:sz w:val="20"/>
                <w:szCs w:val="20"/>
                <w:color w:val="auto"/>
              </w:rPr>
            </w:pPr>
            <w:r>
              <w:rPr>
                <w:rFonts w:ascii="Arial" w:cs="Arial" w:eastAsia="Arial" w:hAnsi="Arial"/>
                <w:sz w:val="18"/>
                <w:szCs w:val="18"/>
                <w:color w:val="auto"/>
                <w:w w:val="99"/>
              </w:rPr>
              <w:t>32.7 %</w:t>
            </w: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ind w:left="420"/>
              <w:spacing w:after="0"/>
              <w:rPr>
                <w:sz w:val="20"/>
                <w:szCs w:val="20"/>
                <w:color w:val="auto"/>
              </w:rPr>
            </w:pPr>
            <w:r>
              <w:rPr>
                <w:rFonts w:ascii="Arial" w:cs="Arial" w:eastAsia="Arial" w:hAnsi="Arial"/>
                <w:sz w:val="18"/>
                <w:szCs w:val="18"/>
                <w:color w:val="auto"/>
                <w:w w:val="99"/>
              </w:rPr>
              <w:t>27.5 %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ind w:left="660"/>
              <w:spacing w:after="0"/>
              <w:rPr>
                <w:sz w:val="20"/>
                <w:szCs w:val="20"/>
                <w:color w:val="auto"/>
              </w:rPr>
            </w:pPr>
            <w:r>
              <w:rPr>
                <w:rFonts w:ascii="Arial" w:cs="Arial" w:eastAsia="Arial" w:hAnsi="Arial"/>
                <w:sz w:val="18"/>
                <w:szCs w:val="18"/>
                <w:color w:val="auto"/>
                <w:w w:val="99"/>
              </w:rPr>
              <w:t>26.9 %</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24.1 %</w:t>
            </w:r>
          </w:p>
        </w:tc>
      </w:tr>
    </w:tbl>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provision for income taxes for the three months ended September 30, 2026 includes a net discrete income tax expense of $4.5 million, of which a tax expense of $2.5 million relates to adjustments to deferred tax asset positions and a net tax expense of $2.0 million primarily relates to return-to-provision adjustments for both domestic and foreign tax returns.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provision for income taxes for the three months ended September 30, 2025 includes a net discrete income tax benefit of $1.0 million, of which a tax benefit of $2.3 million primarily relates to return-to-provision and other adjustments for both domestic and foreign tax returns, partially offset by a tax expense of $1.3 million related to the changes in our reserves for uncertain tax positions.</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provision for income taxes for the nine months ended September 30, 2026 includes a net discrete income tax expense of $1.4 million, of which a net tax expense of $3.2 million relates to return-to-provision and other adjustments to our worldwide tax positions and $3.0 million relates to adjustments to deferred tax asset positions, partially offset by a net tax benefit of $4.8 million related to changes in our reserves for uncertain tax positions.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provision for income taxes for the nine months ended September 30, 2025 includes a net discrete income tax benefit of $12.8 million, of which a tax benefit of $17.4 million relates to the Watson Fuels sale and related asset impairment charges and a net tax benefit of $2.4 million relates to changes in our reserves for uncertain tax positions and the resolution of various worldwide tax matters, partially offset by a tax expense of $2.6 million related to a valuation allowance recorded against the deferred tax assets of a foreign subsidiary and a net tax expense of $4.5 million related to return-to-provision and other adjustments.</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income tax provisions for the three and nine months ended September 30, 2026 and 2025 were calculated based on the estimated annual effective income tax rates for the 2026 and 2025 years, respectively. The actual effective income tax rate for the 2026 year may be materially different for several reasons including differences between estimated versus actual results and the geographic tax jurisdictions in which the results are earned.</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tax returns under examination both in the U.S. and foreign jurisdictions. The most material of these is in Denmark, where one of our subsidiaries has been under audit since 2018. Through September 30, 2026, we have received final tax assessments for the 2013 through 2021 tax years of approximately $147.1 million (DKK 970.5 million), excluding interest, which would be material. We believe we have substantial defenses to these assessments and expect to continue to pursue available administrative and judicial remedies to resolve this matter.</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operating results or cash flows in the quarter or year in which the adjustments are recorded, or the tax is due or paid. As examinations are still in process or have not yet reached the final stages of the appeals process, the timing of the ultimate resolution or payments that may be required cannot be determined at this time.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operate in three reportable segments consisting of aviation, land and marine. Our operating segments are determined based on the different markets in which we provide products and services, which are defined primarily by the customers (businesses and governmental) and the products and services provided to those customers. We use Income from operations as our primary measure of segment profit. Corporate expenses are allocated to the segments based on usage, where possible, or on other factors according to the nature of the activity.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Information concerning our revenue, significant segment expenses, and income from operations by segment is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September 30, 2026</w:t>
            </w:r>
          </w:p>
        </w:tc>
        <w:tc>
          <w:tcPr>
            <w:tcW w:w="960" w:type="dxa"/>
            <w:vAlign w:val="bottom"/>
            <w:tcBorders>
              <w:bottom w:val="single" w:sz="8" w:color="auto"/>
            </w:tcBorders>
          </w:tcPr>
          <w:p>
            <w:pPr>
              <w:spacing w:after="0"/>
              <w:rPr>
                <w:sz w:val="20"/>
                <w:szCs w:val="20"/>
                <w:color w:val="auto"/>
              </w:rPr>
            </w:pPr>
          </w:p>
        </w:tc>
      </w:t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480" w:type="dxa"/>
            <w:vAlign w:val="bottom"/>
          </w:tcPr>
          <w:p>
            <w:pPr>
              <w:spacing w:after="0"/>
              <w:rPr>
                <w:sz w:val="20"/>
                <w:szCs w:val="20"/>
                <w:color w:val="auto"/>
              </w:rPr>
            </w:pPr>
          </w:p>
        </w:tc>
        <w:tc>
          <w:tcPr>
            <w:tcW w:w="960" w:type="dxa"/>
            <w:vAlign w:val="bottom"/>
          </w:tcPr>
          <w:p>
            <w:pPr>
              <w:jc w:val="right"/>
              <w:ind w:right="431"/>
              <w:spacing w:after="0"/>
              <w:rPr>
                <w:sz w:val="20"/>
                <w:szCs w:val="20"/>
                <w:color w:val="auto"/>
              </w:rPr>
            </w:pPr>
            <w:r>
              <w:rPr>
                <w:rFonts w:ascii="Arial" w:cs="Arial" w:eastAsia="Arial" w:hAnsi="Arial"/>
                <w:sz w:val="18"/>
                <w:szCs w:val="18"/>
                <w:b w:val="1"/>
                <w:bCs w:val="1"/>
                <w:color w:val="auto"/>
                <w:w w:val="97"/>
              </w:rPr>
              <w:t>Total</w:t>
            </w:r>
          </w:p>
        </w:tc>
      </w:tr>
      <w:tr>
        <w:trPr>
          <w:trHeight w:val="23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7,647.7</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2,767.3</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13,270.7</w:t>
            </w: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(12,982.6)</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0"/>
        </w:trPr>
        <w:tc>
          <w:tcPr>
            <w:tcW w:w="5100" w:type="dxa"/>
            <w:vAlign w:val="bottom"/>
          </w:tcPr>
          <w:p>
            <w:pPr>
              <w:ind w:left="140"/>
              <w:spacing w:after="0" w:line="24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r>
      <w:tr>
        <w:trPr>
          <w:trHeight w:val="234"/>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w:t>
            </w: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4"/>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Nine Months Ended September 30, 2026</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44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20,652.3</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36,546.9</w:t>
            </w:r>
          </w:p>
        </w:tc>
        <w:tc>
          <w:tcPr>
            <w:tcW w:w="0" w:type="dxa"/>
            <w:vAlign w:val="bottom"/>
          </w:tcPr>
          <w:p>
            <w:pPr>
              <w:spacing w:after="0"/>
              <w:rPr>
                <w:sz w:val="1"/>
                <w:szCs w:val="1"/>
                <w:color w:val="auto"/>
              </w:rPr>
            </w:pP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(35,622.5)</w:t>
            </w:r>
          </w:p>
        </w:tc>
        <w:tc>
          <w:tcPr>
            <w:tcW w:w="0" w:type="dxa"/>
            <w:vAlign w:val="bottom"/>
          </w:tcPr>
          <w:p>
            <w:pPr>
              <w:spacing w:after="0"/>
              <w:rPr>
                <w:sz w:val="1"/>
                <w:szCs w:val="1"/>
                <w:color w:val="auto"/>
              </w:rPr>
            </w:pP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40"/>
        </w:trPr>
        <w:tc>
          <w:tcPr>
            <w:tcW w:w="5100" w:type="dxa"/>
            <w:vAlign w:val="bottom"/>
          </w:tcPr>
          <w:p>
            <w:pPr>
              <w:ind w:left="140"/>
              <w:spacing w:after="0" w:line="24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4"/>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vMerge w:val="restart"/>
          </w:tcPr>
          <w:p>
            <w:pPr>
              <w:jc w:val="right"/>
              <w:ind w:right="73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 September 30, 2025</w:t>
            </w:r>
          </w:p>
        </w:tc>
        <w:tc>
          <w:tcPr>
            <w:tcW w:w="960" w:type="dxa"/>
            <w:vAlign w:val="bottom"/>
            <w:tcBorders>
              <w:bottom w:val="single" w:sz="8" w:color="auto"/>
            </w:tcBorders>
          </w:tcPr>
          <w:p>
            <w:pPr>
              <w:spacing w:after="0"/>
              <w:rPr>
                <w:sz w:val="20"/>
                <w:szCs w:val="20"/>
                <w:color w:val="auto"/>
              </w:rPr>
            </w:pPr>
          </w:p>
        </w:tc>
      </w:t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480" w:type="dxa"/>
            <w:vAlign w:val="bottom"/>
          </w:tcPr>
          <w:p>
            <w:pPr>
              <w:spacing w:after="0"/>
              <w:rPr>
                <w:sz w:val="20"/>
                <w:szCs w:val="20"/>
                <w:color w:val="auto"/>
              </w:rPr>
            </w:pPr>
          </w:p>
        </w:tc>
        <w:tc>
          <w:tcPr>
            <w:tcW w:w="960" w:type="dxa"/>
            <w:vAlign w:val="bottom"/>
          </w:tcPr>
          <w:p>
            <w:pPr>
              <w:jc w:val="right"/>
              <w:ind w:right="431"/>
              <w:spacing w:after="0"/>
              <w:rPr>
                <w:sz w:val="20"/>
                <w:szCs w:val="20"/>
                <w:color w:val="auto"/>
              </w:rPr>
            </w:pPr>
            <w:r>
              <w:rPr>
                <w:rFonts w:ascii="Arial" w:cs="Arial" w:eastAsia="Arial" w:hAnsi="Arial"/>
                <w:sz w:val="18"/>
                <w:szCs w:val="18"/>
                <w:b w:val="1"/>
                <w:bCs w:val="1"/>
                <w:color w:val="auto"/>
                <w:w w:val="97"/>
              </w:rPr>
              <w:t>Total</w:t>
            </w:r>
          </w:p>
        </w:tc>
      </w:tr>
      <w:tr>
        <w:trPr>
          <w:trHeight w:val="23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4,868.1</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2,535.6</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9,391.8</w:t>
            </w: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(4,725.3)</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(9,142.2)</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0"/>
        </w:trPr>
        <w:tc>
          <w:tcPr>
            <w:tcW w:w="5100" w:type="dxa"/>
            <w:vAlign w:val="bottom"/>
          </w:tcPr>
          <w:p>
            <w:pPr>
              <w:ind w:left="140"/>
              <w:spacing w:after="0" w:line="24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34"/>
        </w:trPr>
        <w:tc>
          <w:tcPr>
            <w:tcW w:w="5100" w:type="dxa"/>
            <w:vAlign w:val="bottom"/>
          </w:tcPr>
          <w:p>
            <w:pPr>
              <w:ind w:left="2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Nine Months Ended September 30, 2025</w:t>
            </w:r>
          </w:p>
        </w:tc>
        <w:tc>
          <w:tcPr>
            <w:tcW w:w="1000" w:type="dxa"/>
            <w:vAlign w:val="bottom"/>
            <w:tcBorders>
              <w:bottom w:val="single" w:sz="8" w:color="auto"/>
            </w:tcBorders>
          </w:tcPr>
          <w:p>
            <w:pPr>
              <w:spacing w:after="0"/>
              <w:rPr>
                <w:sz w:val="20"/>
                <w:szCs w:val="20"/>
                <w:color w:val="auto"/>
              </w:rPr>
            </w:pPr>
          </w:p>
        </w:tc>
      </w:tr>
      <w:tr>
        <w:trPr>
          <w:trHeight w:val="234"/>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8"/>
                <w:szCs w:val="18"/>
                <w:b w:val="1"/>
                <w:bCs w:val="1"/>
                <w:color w:val="auto"/>
              </w:rPr>
              <w:t>Aviation</w:t>
            </w:r>
          </w:p>
        </w:tc>
        <w:tc>
          <w:tcPr>
            <w:tcW w:w="32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b w:val="1"/>
                <w:bCs w:val="1"/>
                <w:color w:val="auto"/>
              </w:rPr>
              <w:t>Land</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Marine</w:t>
            </w:r>
          </w:p>
        </w:tc>
        <w:tc>
          <w:tcPr>
            <w:tcW w:w="440" w:type="dxa"/>
            <w:vAlign w:val="bottom"/>
          </w:tcPr>
          <w:p>
            <w:pPr>
              <w:spacing w:after="0"/>
              <w:rPr>
                <w:sz w:val="20"/>
                <w:szCs w:val="20"/>
                <w:color w:val="auto"/>
              </w:rPr>
            </w:pPr>
          </w:p>
        </w:tc>
        <w:tc>
          <w:tcPr>
            <w:tcW w:w="1000" w:type="dxa"/>
            <w:vAlign w:val="bottom"/>
          </w:tcPr>
          <w:p>
            <w:pPr>
              <w:jc w:val="right"/>
              <w:ind w:right="431"/>
              <w:spacing w:after="0"/>
              <w:rPr>
                <w:sz w:val="20"/>
                <w:szCs w:val="20"/>
                <w:color w:val="auto"/>
              </w:rPr>
            </w:pPr>
            <w:r>
              <w:rPr>
                <w:rFonts w:ascii="Arial" w:cs="Arial" w:eastAsia="Arial" w:hAnsi="Arial"/>
                <w:sz w:val="18"/>
                <w:szCs w:val="18"/>
                <w:b w:val="1"/>
                <w:bCs w:val="1"/>
                <w:color w:val="auto"/>
              </w:rPr>
              <w:t>Total</w:t>
            </w:r>
          </w:p>
        </w:tc>
      </w:tr>
      <w:tr>
        <w:trPr>
          <w:trHeight w:val="23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14,247.4</w:t>
            </w:r>
          </w:p>
        </w:tc>
        <w:tc>
          <w:tcPr>
            <w:tcW w:w="1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7,825.9</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27,887.6</w:t>
            </w:r>
          </w:p>
        </w:tc>
      </w:tr>
      <w:tr>
        <w:trPr>
          <w:trHeight w:val="240"/>
        </w:trPr>
        <w:tc>
          <w:tcPr>
            <w:tcW w:w="5100" w:type="dxa"/>
            <w:vAlign w:val="bottom"/>
          </w:tcPr>
          <w:p>
            <w:pPr>
              <w:ind w:left="20"/>
              <w:spacing w:after="0"/>
              <w:rPr>
                <w:sz w:val="20"/>
                <w:szCs w:val="20"/>
                <w:color w:val="auto"/>
              </w:rPr>
            </w:pPr>
            <w:r>
              <w:rPr>
                <w:rFonts w:ascii="Arial" w:cs="Arial" w:eastAsia="Arial" w:hAnsi="Arial"/>
                <w:sz w:val="18"/>
                <w:szCs w:val="18"/>
                <w:color w:val="auto"/>
              </w:rPr>
              <w:t>Segment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(27,175.2)</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Compensation and related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(218.5)</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compensation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0"/>
        </w:trPr>
        <w:tc>
          <w:tcPr>
            <w:tcW w:w="5100" w:type="dxa"/>
            <w:vAlign w:val="bottom"/>
          </w:tcPr>
          <w:p>
            <w:pPr>
              <w:ind w:left="140"/>
              <w:spacing w:after="0" w:line="240" w:lineRule="exact"/>
              <w:rPr>
                <w:sz w:val="20"/>
                <w:szCs w:val="20"/>
                <w:color w:val="auto"/>
              </w:rPr>
            </w:pPr>
            <w:r>
              <w:rPr>
                <w:rFonts w:ascii="Arial" w:cs="Arial" w:eastAsia="Arial" w:hAnsi="Arial"/>
                <w:sz w:val="18"/>
                <w:szCs w:val="18"/>
                <w:color w:val="auto"/>
              </w:rPr>
              <w:t xml:space="preserve">Corporate allocations </w:t>
            </w:r>
            <w:r>
              <w:rPr>
                <w:rFonts w:ascii="Arial" w:cs="Arial" w:eastAsia="Arial" w:hAnsi="Arial"/>
                <w:sz w:val="23"/>
                <w:szCs w:val="23"/>
                <w:color w:val="auto"/>
                <w:vertAlign w:val="superscript"/>
              </w:rPr>
              <w:t>(1)</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40"/>
        </w:trPr>
        <w:tc>
          <w:tcPr>
            <w:tcW w:w="5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Restructuring and exit costs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40"/>
        </w:trPr>
        <w:tc>
          <w:tcPr>
            <w:tcW w:w="510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Other segment expenses </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34"/>
        </w:trPr>
        <w:tc>
          <w:tcPr>
            <w:tcW w:w="5100" w:type="dxa"/>
            <w:vAlign w:val="bottom"/>
          </w:tcPr>
          <w:p>
            <w:pPr>
              <w:ind w:left="140"/>
              <w:spacing w:after="0"/>
              <w:rPr>
                <w:sz w:val="20"/>
                <w:szCs w:val="20"/>
                <w:color w:val="auto"/>
              </w:rPr>
            </w:pPr>
            <w:r>
              <w:rPr>
                <w:rFonts w:ascii="Arial" w:cs="Arial" w:eastAsia="Arial" w:hAnsi="Arial"/>
                <w:sz w:val="18"/>
                <w:szCs w:val="18"/>
                <w:color w:val="auto"/>
              </w:rPr>
              <w:t>Operating income - segment profit (loss)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40"/>
        </w:trPr>
        <w:tc>
          <w:tcPr>
            <w:tcW w:w="5100" w:type="dxa"/>
            <w:vAlign w:val="bottom"/>
            <w:shd w:val="clear" w:color="auto" w:fill="CCEEFF"/>
          </w:tcPr>
          <w:p>
            <w:pPr>
              <w:ind w:left="140"/>
              <w:spacing w:after="0" w:line="240" w:lineRule="exact"/>
              <w:rPr>
                <w:sz w:val="20"/>
                <w:szCs w:val="20"/>
                <w:color w:val="auto"/>
              </w:rPr>
            </w:pPr>
            <w:r>
              <w:rPr>
                <w:rFonts w:ascii="Arial" w:cs="Arial" w:eastAsia="Arial" w:hAnsi="Arial"/>
                <w:sz w:val="18"/>
                <w:szCs w:val="18"/>
                <w:color w:val="auto"/>
              </w:rPr>
              <w:t xml:space="preserve">Unallocated corporate expenses </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40"/>
        </w:trPr>
        <w:tc>
          <w:tcPr>
            <w:tcW w:w="51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40"/>
        </w:trPr>
        <w:tc>
          <w:tcPr>
            <w:tcW w:w="5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4"/>
        </w:trPr>
        <w:tc>
          <w:tcPr>
            <w:tcW w:w="51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allocations of compensation costs and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Other segment expenses include professional fees, office expenses and general insurance, technology related expenses, travel and entertainment, and other general and administrative expenses.</w:t>
      </w:r>
    </w:p>
    <w:p>
      <w:pPr>
        <w:spacing w:after="0" w:line="87" w:lineRule="exact"/>
        <w:rPr>
          <w:rFonts w:ascii="Arial" w:cs="Arial" w:eastAsia="Arial" w:hAnsi="Arial"/>
          <w:sz w:val="23"/>
          <w:szCs w:val="23"/>
          <w:color w:val="auto"/>
          <w:vertAlign w:val="superscript"/>
        </w:rPr>
      </w:pPr>
    </w:p>
    <w:p>
      <w:pPr>
        <w:ind w:left="320" w:hanging="313"/>
        <w:spacing w:after="0" w:line="227"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Unallocated corporate expenses include corporate compensation costs and general and administrative expenses which are not allocated to the operating segments, as well as certain asset impairment charges related to equity investments at non-core businesses.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Information concerning our capital expenditures and depreciation and amortization by segment is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11"/>
          </w:tcPr>
          <w:p>
            <w:pPr>
              <w:jc w:val="center"/>
              <w:ind w:left="11"/>
              <w:spacing w:after="0"/>
              <w:rPr>
                <w:sz w:val="20"/>
                <w:szCs w:val="20"/>
                <w:color w:val="auto"/>
              </w:rPr>
            </w:pPr>
            <w:r>
              <w:rPr>
                <w:rFonts w:ascii="Arial" w:cs="Arial" w:eastAsia="Arial" w:hAnsi="Arial"/>
                <w:sz w:val="18"/>
                <w:szCs w:val="18"/>
                <w:b w:val="1"/>
                <w:bCs w:val="1"/>
                <w:color w:val="auto"/>
                <w:w w:val="98"/>
              </w:rPr>
              <w:t>For the Three Months Ended September 30, 2026</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5"/>
                <w:szCs w:val="15"/>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0"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5"/>
                <w:szCs w:val="15"/>
                <w:color w:val="auto"/>
              </w:rPr>
            </w:pPr>
          </w:p>
        </w:tc>
        <w:tc>
          <w:tcPr>
            <w:tcW w:w="1400" w:type="dxa"/>
            <w:vAlign w:val="bottom"/>
            <w:gridSpan w:val="2"/>
          </w:tcPr>
          <w:p>
            <w:pPr>
              <w:ind w:left="80"/>
              <w:spacing w:after="0" w:line="180"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5"/>
                <w:szCs w:val="15"/>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Borders>
              <w:top w:val="single" w:sz="8" w:color="CCEEFF"/>
            </w:tcBorders>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504"/>
        </w:trPr>
        <w:tc>
          <w:tcPr>
            <w:tcW w:w="3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8"/>
              </w:rPr>
              <w:t>For the Nine Months Ended September 30, 2026</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80"/>
              <w:spacing w:after="0" w:line="180"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8"/>
                <w:szCs w:val="18"/>
                <w:b w:val="1"/>
                <w:bCs w:val="1"/>
                <w:color w:val="auto"/>
              </w:rPr>
              <w:t>Corporate -</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line="23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467"/>
        </w:trPr>
        <w:tc>
          <w:tcPr>
            <w:tcW w:w="3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jc w:val="center"/>
              <w:ind w:left="11"/>
              <w:spacing w:after="0"/>
              <w:rPr>
                <w:sz w:val="20"/>
                <w:szCs w:val="20"/>
                <w:color w:val="auto"/>
              </w:rPr>
            </w:pPr>
            <w:r>
              <w:rPr>
                <w:rFonts w:ascii="Arial" w:cs="Arial" w:eastAsia="Arial" w:hAnsi="Arial"/>
                <w:sz w:val="18"/>
                <w:szCs w:val="18"/>
                <w:b w:val="1"/>
                <w:bCs w:val="1"/>
                <w:color w:val="auto"/>
                <w:w w:val="98"/>
              </w:rPr>
              <w:t>For the Three Months Ended September 30, 2025</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tcPr>
          <w:p>
            <w:pPr>
              <w:spacing w:after="0"/>
              <w:rPr>
                <w:sz w:val="15"/>
                <w:szCs w:val="15"/>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tcPr>
          <w:p>
            <w:pPr>
              <w:spacing w:after="0"/>
              <w:rPr>
                <w:sz w:val="15"/>
                <w:szCs w:val="15"/>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line="180"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tcPr>
          <w:p>
            <w:pPr>
              <w:spacing w:after="0"/>
              <w:rPr>
                <w:sz w:val="15"/>
                <w:szCs w:val="15"/>
                <w:color w:val="auto"/>
              </w:rPr>
            </w:pPr>
          </w:p>
        </w:tc>
        <w:tc>
          <w:tcPr>
            <w:tcW w:w="1400" w:type="dxa"/>
            <w:vAlign w:val="bottom"/>
            <w:gridSpan w:val="2"/>
          </w:tcPr>
          <w:p>
            <w:pPr>
              <w:ind w:left="80"/>
              <w:spacing w:after="0" w:line="180" w:lineRule="exact"/>
              <w:rPr>
                <w:sz w:val="20"/>
                <w:szCs w:val="20"/>
                <w:color w:val="auto"/>
              </w:rPr>
            </w:pPr>
            <w:r>
              <w:rPr>
                <w:rFonts w:ascii="Arial" w:cs="Arial" w:eastAsia="Arial" w:hAnsi="Arial"/>
                <w:sz w:val="18"/>
                <w:szCs w:val="18"/>
                <w:b w:val="1"/>
                <w:bCs w:val="1"/>
                <w:color w:val="auto"/>
              </w:rPr>
              <w:t>Corporate -</w:t>
            </w:r>
          </w:p>
        </w:tc>
        <w:tc>
          <w:tcPr>
            <w:tcW w:w="160" w:type="dxa"/>
            <w:vAlign w:val="bottom"/>
          </w:tcPr>
          <w:p>
            <w:pPr>
              <w:spacing w:after="0"/>
              <w:rPr>
                <w:sz w:val="15"/>
                <w:szCs w:val="15"/>
                <w:color w:val="auto"/>
              </w:rPr>
            </w:pPr>
          </w:p>
        </w:tc>
        <w:tc>
          <w:tcPr>
            <w:tcW w:w="13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Borders>
              <w:top w:val="single" w:sz="8" w:color="CCEEFF"/>
            </w:tcBorders>
            <w:shd w:val="clear" w:color="auto" w:fill="CCEEFF"/>
          </w:tcPr>
          <w:p>
            <w:pPr>
              <w:ind w:left="20"/>
              <w:spacing w:after="0" w:line="23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504"/>
        </w:trPr>
        <w:tc>
          <w:tcPr>
            <w:tcW w:w="3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8"/>
              </w:rPr>
              <w:t>For the Nine Months Ended September 30, 2025</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Aviation</w:t>
            </w:r>
          </w:p>
        </w:tc>
        <w:tc>
          <w:tcPr>
            <w:tcW w:w="22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Land</w:t>
            </w:r>
          </w:p>
        </w:tc>
        <w:tc>
          <w:tcPr>
            <w:tcW w:w="1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Marine</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280"/>
              <w:spacing w:after="0" w:line="180" w:lineRule="exact"/>
              <w:rPr>
                <w:sz w:val="20"/>
                <w:szCs w:val="20"/>
                <w:color w:val="auto"/>
              </w:rPr>
            </w:pPr>
            <w:r>
              <w:rPr>
                <w:rFonts w:ascii="Arial" w:cs="Arial" w:eastAsia="Arial" w:hAnsi="Arial"/>
                <w:sz w:val="18"/>
                <w:szCs w:val="18"/>
                <w:b w:val="1"/>
                <w:bCs w:val="1"/>
                <w:color w:val="auto"/>
                <w:w w:val="97"/>
              </w:rPr>
              <w:t>Segment</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0"/>
              <w:spacing w:after="0" w:line="180" w:lineRule="exact"/>
              <w:rPr>
                <w:sz w:val="20"/>
                <w:szCs w:val="20"/>
                <w:color w:val="auto"/>
              </w:rPr>
            </w:pPr>
            <w:r>
              <w:rPr>
                <w:rFonts w:ascii="Arial" w:cs="Arial" w:eastAsia="Arial" w:hAnsi="Arial"/>
                <w:sz w:val="18"/>
                <w:szCs w:val="18"/>
                <w:b w:val="1"/>
                <w:bCs w:val="1"/>
                <w:color w:val="auto"/>
              </w:rPr>
              <w:t>Corporate -</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Unallocated</w:t>
            </w: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80" w:type="dxa"/>
            <w:vAlign w:val="bottom"/>
          </w:tcPr>
          <w:p>
            <w:pPr>
              <w:ind w:left="20"/>
              <w:spacing w:after="0" w:line="233"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40"/>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20" w:hanging="313"/>
        <w:spacing w:after="0" w:line="227" w:lineRule="auto"/>
        <w:tabs>
          <w:tab w:leader="none" w:pos="314"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Total depreciation and amortization as presented includes charges classified within Cost of revenue and Operating expenses in our Condensed Consolidated Statements of Income and Comprehensive Income.</w:t>
      </w:r>
    </w:p>
    <w:p>
      <w:pPr>
        <w:spacing w:after="0" w:line="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our Accounts receivable, net of allowance for credit losses and Total assets by reportable segment is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2026</w:t>
            </w:r>
          </w:p>
        </w:tc>
        <w:tc>
          <w:tcPr>
            <w:tcW w:w="200" w:type="dxa"/>
            <w:vAlign w:val="bottom"/>
          </w:tcPr>
          <w:p>
            <w:pPr>
              <w:spacing w:after="0"/>
              <w:rPr>
                <w:sz w:val="20"/>
                <w:szCs w:val="20"/>
                <w:color w:val="auto"/>
              </w:rPr>
            </w:pPr>
          </w:p>
        </w:tc>
        <w:tc>
          <w:tcPr>
            <w:tcW w:w="2000" w:type="dxa"/>
            <w:vAlign w:val="bottom"/>
          </w:tcPr>
          <w:p>
            <w:pPr>
              <w:jc w:val="right"/>
              <w:ind w:right="211"/>
              <w:spacing w:after="0"/>
              <w:rPr>
                <w:sz w:val="20"/>
                <w:szCs w:val="20"/>
                <w:color w:val="auto"/>
              </w:rPr>
            </w:pPr>
            <w:r>
              <w:rPr>
                <w:rFonts w:ascii="Arial" w:cs="Arial" w:eastAsia="Arial" w:hAnsi="Arial"/>
                <w:sz w:val="18"/>
                <w:szCs w:val="18"/>
                <w:b w:val="1"/>
                <w:bCs w:val="1"/>
                <w:color w:val="auto"/>
              </w:rPr>
              <w:t>December 31, 2025</w:t>
            </w:r>
          </w:p>
        </w:tc>
        <w:tc>
          <w:tcPr>
            <w:tcW w:w="0" w:type="dxa"/>
            <w:vAlign w:val="bottom"/>
          </w:tcPr>
          <w:p>
            <w:pPr>
              <w:spacing w:after="0"/>
              <w:rPr>
                <w:sz w:val="1"/>
                <w:szCs w:val="1"/>
                <w:color w:val="auto"/>
              </w:rPr>
            </w:pPr>
          </w:p>
        </w:tc>
      </w:tr>
      <w:tr>
        <w:trPr>
          <w:trHeight w:val="22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5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140" w:type="dxa"/>
            <w:vAlign w:val="bottom"/>
          </w:tcPr>
          <w:p>
            <w:pPr>
              <w:ind w:left="140"/>
              <w:spacing w:after="0"/>
              <w:rPr>
                <w:sz w:val="20"/>
                <w:szCs w:val="20"/>
                <w:color w:val="auto"/>
              </w:rPr>
            </w:pPr>
            <w:r>
              <w:rPr>
                <w:rFonts w:ascii="Arial" w:cs="Arial" w:eastAsia="Arial" w:hAnsi="Arial"/>
                <w:sz w:val="18"/>
                <w:szCs w:val="18"/>
                <w:color w:val="auto"/>
              </w:rPr>
              <w:t>Aviation segment</w:t>
            </w: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1,810.7</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w:t>
            </w:r>
          </w:p>
        </w:tc>
        <w:tc>
          <w:tcPr>
            <w:tcW w:w="0" w:type="dxa"/>
            <w:vAlign w:val="bottom"/>
          </w:tcPr>
          <w:p>
            <w:pPr>
              <w:spacing w:after="0"/>
              <w:rPr>
                <w:sz w:val="1"/>
                <w:szCs w:val="1"/>
                <w:color w:val="auto"/>
              </w:rPr>
            </w:pPr>
          </w:p>
        </w:tc>
      </w:tr>
      <w:tr>
        <w:trPr>
          <w:trHeight w:val="240"/>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842.3</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54"/>
        </w:trPr>
        <w:tc>
          <w:tcPr>
            <w:tcW w:w="4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accounts receivable, net</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3,125.2</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4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Aviation segment</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2,588.7</w:t>
            </w:r>
          </w:p>
        </w:tc>
        <w:tc>
          <w:tcPr>
            <w:tcW w:w="0" w:type="dxa"/>
            <w:vAlign w:val="bottom"/>
          </w:tcPr>
          <w:p>
            <w:pPr>
              <w:spacing w:after="0"/>
              <w:rPr>
                <w:sz w:val="1"/>
                <w:szCs w:val="1"/>
                <w:color w:val="auto"/>
              </w:rPr>
            </w:pPr>
          </w:p>
        </w:tc>
      </w:tr>
      <w:tr>
        <w:trPr>
          <w:trHeight w:val="240"/>
        </w:trPr>
        <w:tc>
          <w:tcPr>
            <w:tcW w:w="4140" w:type="dxa"/>
            <w:vAlign w:val="bottom"/>
          </w:tcPr>
          <w:p>
            <w:pPr>
              <w:ind w:left="140"/>
              <w:spacing w:after="0"/>
              <w:rPr>
                <w:sz w:val="20"/>
                <w:szCs w:val="20"/>
                <w:color w:val="auto"/>
              </w:rPr>
            </w:pPr>
            <w:r>
              <w:rPr>
                <w:rFonts w:ascii="Arial" w:cs="Arial" w:eastAsia="Arial" w:hAnsi="Arial"/>
                <w:sz w:val="18"/>
                <w:szCs w:val="18"/>
                <w:color w:val="auto"/>
              </w:rPr>
              <w:t>Land segment</w:t>
            </w: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1,980.7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2,131.3</w:t>
            </w: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Marine segment</w:t>
            </w:r>
          </w:p>
        </w:tc>
        <w:tc>
          <w:tcPr>
            <w:tcW w:w="25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1,064.1</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0" w:type="dxa"/>
            <w:vAlign w:val="bottom"/>
          </w:tcPr>
          <w:p>
            <w:pPr>
              <w:spacing w:after="0"/>
              <w:rPr>
                <w:sz w:val="1"/>
                <w:szCs w:val="1"/>
                <w:color w:val="auto"/>
              </w:rPr>
            </w:pPr>
          </w:p>
        </w:tc>
      </w:tr>
      <w:tr>
        <w:trPr>
          <w:trHeight w:val="234"/>
        </w:trPr>
        <w:tc>
          <w:tcPr>
            <w:tcW w:w="4140" w:type="dxa"/>
            <w:vAlign w:val="bottom"/>
          </w:tcPr>
          <w:p>
            <w:pPr>
              <w:ind w:left="260"/>
              <w:spacing w:after="0"/>
              <w:rPr>
                <w:sz w:val="20"/>
                <w:szCs w:val="20"/>
                <w:color w:val="auto"/>
              </w:rPr>
            </w:pPr>
            <w:r>
              <w:rPr>
                <w:rFonts w:ascii="Arial" w:cs="Arial" w:eastAsia="Arial" w:hAnsi="Arial"/>
                <w:sz w:val="18"/>
                <w:szCs w:val="18"/>
                <w:color w:val="auto"/>
              </w:rPr>
              <w:t>Total reportable segment assets</w:t>
            </w:r>
          </w:p>
        </w:tc>
        <w:tc>
          <w:tcPr>
            <w:tcW w:w="2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6,655.9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5,421.4</w:t>
            </w:r>
          </w:p>
        </w:tc>
        <w:tc>
          <w:tcPr>
            <w:tcW w:w="0" w:type="dxa"/>
            <w:vAlign w:val="bottom"/>
          </w:tcPr>
          <w:p>
            <w:pPr>
              <w:spacing w:after="0"/>
              <w:rPr>
                <w:sz w:val="1"/>
                <w:szCs w:val="1"/>
                <w:color w:val="auto"/>
              </w:rPr>
            </w:pPr>
          </w:p>
        </w:tc>
      </w:tr>
      <w:tr>
        <w:trPr>
          <w:trHeight w:val="24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25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34"/>
        </w:trPr>
        <w:tc>
          <w:tcPr>
            <w:tcW w:w="41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2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7,038.9</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5,863.9</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580" w:type="dxa"/>
            <w:vAlign w:val="bottom"/>
            <w:vMerge w:val="restart"/>
          </w:tcPr>
          <w:p>
            <w:pPr>
              <w:jc w:val="right"/>
              <w:ind w:right="911"/>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0"/>
        </w:trPr>
        <w:tc>
          <w:tcPr>
            <w:tcW w:w="41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40" w:type="dxa"/>
            <w:vAlign w:val="bottom"/>
            <w:tcBorders>
              <w:bottom w:val="single" w:sz="8" w:color="9A9A9A"/>
            </w:tcBorders>
          </w:tcPr>
          <w:p>
            <w:pPr>
              <w:spacing w:after="0"/>
              <w:rPr>
                <w:sz w:val="18"/>
                <w:szCs w:val="18"/>
                <w:color w:val="auto"/>
              </w:rPr>
            </w:pPr>
          </w:p>
        </w:tc>
        <w:tc>
          <w:tcPr>
            <w:tcW w:w="2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13. Earnings Per Common Share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980" w:type="dxa"/>
            <w:vAlign w:val="bottom"/>
            <w:gridSpan w:val="5"/>
          </w:tcPr>
          <w:p>
            <w:pPr>
              <w:jc w:val="right"/>
              <w:ind w:right="191"/>
              <w:spacing w:after="0"/>
              <w:rPr>
                <w:sz w:val="20"/>
                <w:szCs w:val="20"/>
                <w:color w:val="auto"/>
              </w:rPr>
            </w:pPr>
            <w:r>
              <w:rPr>
                <w:rFonts w:ascii="Arial" w:cs="Arial" w:eastAsia="Arial" w:hAnsi="Arial"/>
                <w:sz w:val="18"/>
                <w:szCs w:val="18"/>
                <w:b w:val="1"/>
                <w:bCs w:val="1"/>
                <w:color w:val="auto"/>
              </w:rPr>
              <w:t>For the Three Months Ended</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6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rPr>
              <w:t>For the Nine Months Ended</w:t>
            </w:r>
          </w:p>
        </w:tc>
        <w:tc>
          <w:tcPr>
            <w:tcW w:w="0" w:type="dxa"/>
            <w:vAlign w:val="bottom"/>
          </w:tcPr>
          <w:p>
            <w:pPr>
              <w:spacing w:after="0"/>
              <w:rPr>
                <w:sz w:val="1"/>
                <w:szCs w:val="1"/>
                <w:color w:val="auto"/>
              </w:rPr>
            </w:pPr>
          </w:p>
        </w:tc>
      </w:tr>
      <w:tr>
        <w:trPr>
          <w:trHeight w:val="240"/>
        </w:trPr>
        <w:tc>
          <w:tcPr>
            <w:tcW w:w="512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5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40"/>
              <w:spacing w:after="0"/>
              <w:rPr>
                <w:sz w:val="20"/>
                <w:szCs w:val="20"/>
                <w:color w:val="auto"/>
              </w:rPr>
            </w:pPr>
            <w:r>
              <w:rPr>
                <w:rFonts w:ascii="Arial" w:cs="Arial" w:eastAsia="Arial" w:hAnsi="Arial"/>
                <w:sz w:val="18"/>
                <w:szCs w:val="18"/>
                <w:color w:val="auto"/>
              </w:rPr>
              <w:t>Net income (loss) attributable to World Kinect</w:t>
            </w: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20"/>
                <w:szCs w:val="20"/>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112.6</w:t>
            </w:r>
          </w:p>
        </w:tc>
        <w:tc>
          <w:tcPr>
            <w:tcW w:w="14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120" w:type="dxa"/>
            <w:vAlign w:val="bottom"/>
          </w:tcPr>
          <w:p>
            <w:pPr>
              <w:ind w:left="140"/>
              <w:spacing w:after="0" w:line="187" w:lineRule="exact"/>
              <w:rPr>
                <w:sz w:val="20"/>
                <w:szCs w:val="20"/>
                <w:color w:val="auto"/>
              </w:rPr>
            </w:pPr>
            <w:r>
              <w:rPr>
                <w:rFonts w:ascii="Arial" w:cs="Arial" w:eastAsia="Arial" w:hAnsi="Arial"/>
                <w:sz w:val="18"/>
                <w:szCs w:val="18"/>
                <w:color w:val="auto"/>
              </w:rPr>
              <w:t>Weighted average common shares for basic earnings per</w:t>
            </w: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140"/>
              <w:spacing w:after="0"/>
              <w:rPr>
                <w:sz w:val="20"/>
                <w:szCs w:val="20"/>
                <w:color w:val="auto"/>
              </w:rPr>
            </w:pPr>
            <w:r>
              <w:rPr>
                <w:rFonts w:ascii="Arial" w:cs="Arial" w:eastAsia="Arial" w:hAnsi="Arial"/>
                <w:sz w:val="18"/>
                <w:szCs w:val="18"/>
                <w:color w:val="auto"/>
              </w:rPr>
              <w:t>common share</w:t>
            </w: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5120" w:type="dxa"/>
            <w:vAlign w:val="bottom"/>
          </w:tcPr>
          <w:p>
            <w:pPr>
              <w:ind w:left="140"/>
              <w:spacing w:after="0" w:line="167" w:lineRule="exact"/>
              <w:rPr>
                <w:sz w:val="20"/>
                <w:szCs w:val="20"/>
                <w:color w:val="auto"/>
              </w:rPr>
            </w:pPr>
            <w:r>
              <w:rPr>
                <w:rFonts w:ascii="Arial" w:cs="Arial" w:eastAsia="Arial" w:hAnsi="Arial"/>
                <w:sz w:val="18"/>
                <w:szCs w:val="18"/>
                <w:color w:val="auto"/>
              </w:rPr>
              <w:t>Weighted average common shares for diluted earnings per</w:t>
            </w:r>
          </w:p>
        </w:tc>
        <w:tc>
          <w:tcPr>
            <w:tcW w:w="9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54.4</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8"/>
                <w:szCs w:val="18"/>
                <w:color w:val="auto"/>
              </w:rPr>
              <w:t>common share</w:t>
            </w: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120" w:type="dxa"/>
            <w:vAlign w:val="bottom"/>
          </w:tcPr>
          <w:p>
            <w:pPr>
              <w:ind w:left="20"/>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Pr>
          <w:p>
            <w:pPr>
              <w:spacing w:after="0"/>
              <w:rPr>
                <w:sz w:val="18"/>
                <w:szCs w:val="18"/>
                <w:color w:val="auto"/>
              </w:rPr>
            </w:pPr>
          </w:p>
        </w:tc>
        <w:tc>
          <w:tcPr>
            <w:tcW w:w="960" w:type="dxa"/>
            <w:vAlign w:val="bottom"/>
          </w:tcPr>
          <w:p>
            <w:pPr>
              <w:jc w:val="right"/>
              <w:ind w:right="751"/>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0.46</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1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Weighted average securities which are not included in the</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1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calculation of diluted earnings per common share because</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2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their impact is anti-dilutive or their performance conditions</w:t>
            </w: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0"/>
        </w:trPr>
        <w:tc>
          <w:tcPr>
            <w:tcW w:w="5120" w:type="dxa"/>
            <w:vAlign w:val="bottom"/>
            <w:tcBorders>
              <w:bottom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have not been met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Exit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restructuring and exit costs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312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18"/>
                <w:szCs w:val="18"/>
                <w:color w:val="auto"/>
              </w:rPr>
            </w:pPr>
          </w:p>
        </w:tc>
        <w:tc>
          <w:tcPr>
            <w:tcW w:w="276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rPr>
              <w:t>For the Nine Months Ended</w:t>
            </w:r>
          </w:p>
        </w:tc>
      </w:tr>
      <w:tr>
        <w:trPr>
          <w:trHeight w:val="240"/>
        </w:trPr>
        <w:tc>
          <w:tcPr>
            <w:tcW w:w="514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8"/>
                <w:szCs w:val="18"/>
                <w:b w:val="1"/>
                <w:bCs w:val="1"/>
                <w:color w:val="auto"/>
              </w:rPr>
              <w:t>September 30,</w:t>
            </w:r>
          </w:p>
        </w:tc>
      </w:tr>
      <w:tr>
        <w:trPr>
          <w:trHeight w:val="234"/>
        </w:trPr>
        <w:tc>
          <w:tcPr>
            <w:tcW w:w="514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2025</w:t>
            </w:r>
          </w:p>
        </w:tc>
      </w:tr>
      <w:tr>
        <w:trPr>
          <w:trHeight w:val="23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9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Exit costs</w:t>
            </w: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5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restructuring and exit costs</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Exit Activities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nine months ended September 30, 2026, management continued to execute the plan initiated in 2025 to exit certain operations within the land segment that are no longer profitable or not aligned with the Company's core business and corporate strategy, and also initiated actions to exit certain businesses within the aviation segment. As a result of the actions taken during the nine months ended September 30, 2026, we recognized a net credit for exit activities totaling $1.6 million, comprised of net gains on the sale of assets of $17.0 million, which were partially offset by charges associated with various legal matters and contract termination costs of $8.1 million and severance and compensation costs of $7.3 million.</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a result of the actions taken in 2026, we recognized additional allowances for current expected credit losses of $3.0 million with respect to accounts receivable associated with exited business lines and $23.2 million with respect to notes receivable from an equity method investee, resulting from our decision to discontinue ongoing financial support, included in General and administrative within our Condensed Consolidated Statements of Income and Comprehensive Income. The underlying equity method investment had no carrying value as of September 30,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Exit Activities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that were no longer profitable or not aligned with the Company's core business and corporate strategy. As a result, the Company has begun the process of exiting direct fuel transportation services, lubricants, heating oil, power, and certain advisory and sustainability offerings, including the Land Fuel Transportation and Lubricants disposal group as discussed in Note 2. Acquisitions and Divestitures. As a result of the actions taken, we recognized charges for exit activities totaling $57.8 million during the year ended December 31, 2025, comprised of severance and compensation costs of $26.2 million, charges associated with various legal</w:t>
      </w:r>
    </w:p>
    <w:p>
      <w:pPr>
        <w:sectPr>
          <w:pgSz w:w="11900" w:h="16838" w:orient="portrait"/>
          <w:cols w:equalWidth="0" w:num="1">
            <w:col w:w="11240"/>
          </w:cols>
          <w:pgMar w:left="320" w:top="1095"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144780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type w:val="continuous"/>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matters and contract termination costs of $21.7 million, write-offs of receivables and other assets of $5.1 million, and a loss on the sale of assets of $4.7 million.</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recognized asset impairment charges of $5.8 million related to assets no longer in use or expected to provide nominal future economic benefit, included in Goodwill and other asset impairments within our Condensed Consolidated Statements of Income and Comprehensive Income.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Restructuring Plan</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first quarter of 2025, in alignment with ongoing efforts to rationalize our assets and operations, we began a company-wide restructuring initiative designed to further streamline our operating model and enhance organizational efficiency and effectiveness (the "2025 Restructuring Plan"). As part of this initiative, we undertook cost management actions in response to the current and projected business needs, including the closure of certain open positions and the elimination of other roles to better align the workforce with our current strategic priorities. As a component of the 2025 Restructuring Plan, in June 2025, we launched a program intended to optimize our global finance and accounting operations. During the fourth quarter of 2025, we announced an executive transition as a component of the 2025 Restructuring Plan.</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actions taken under the 2025 Restructuring Plan, we recognized $ 45.2 million of restructuring charges associated with the 2025 Restructuring Plan during the year ended December 31, 2025, including $32.7 million of severance and other compensation costs and $12.6 million of other transition related costs. During the nine months ended September 30, 2026, we recognized $15.7 million of charges associated with the 2025 Restructuring Plan, consisting primarily of costs associated with the global finance and accounting optimization program as well as additional severance and other compensation costs.</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plan to complete the transition activities associated with the global finance and accounting optimization in the fourth quarter of 2026 and expect to recognize an additional $2.0 million in transition costs and one-time charges associated with the planned initiatives during the year ending December 31, 2026.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Rollforward of Restructuring and Exit Activity Accruals</w:t>
      </w:r>
    </w:p>
    <w:p>
      <w:pPr>
        <w:spacing w:after="0" w:line="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a summary of our accruals for severance and other compensation cost activities as well as other transition costs as part of current and previously completed restructuring plans and other exit activities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Aviation</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Land</w:t>
            </w: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Marine</w:t>
            </w:r>
          </w:p>
        </w:tc>
        <w:tc>
          <w:tcPr>
            <w:tcW w:w="16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w:t>
            </w:r>
          </w:p>
        </w:tc>
        <w:tc>
          <w:tcPr>
            <w:tcW w:w="1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Consolidated</w:t>
            </w:r>
          </w:p>
        </w:tc>
      </w:tr>
      <w:tr>
        <w:trPr>
          <w:trHeight w:val="234"/>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charges as of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center"/>
              <w:ind w:left="531"/>
              <w:spacing w:after="0"/>
              <w:rPr>
                <w:sz w:val="20"/>
                <w:szCs w:val="20"/>
                <w:color w:val="auto"/>
              </w:rPr>
            </w:pPr>
            <w:r>
              <w:rPr>
                <w:rFonts w:ascii="Arial" w:cs="Arial" w:eastAsia="Arial" w:hAnsi="Arial"/>
                <w:sz w:val="18"/>
                <w:szCs w:val="18"/>
                <w:color w:val="auto"/>
                <w:w w:val="95"/>
              </w:rPr>
              <w:t>3.3</w:t>
            </w:r>
          </w:p>
        </w:tc>
        <w:tc>
          <w:tcPr>
            <w:tcW w:w="14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center"/>
              <w:ind w:left="491"/>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791"/>
              <w:spacing w:after="0"/>
              <w:rPr>
                <w:sz w:val="20"/>
                <w:szCs w:val="20"/>
                <w:color w:val="auto"/>
              </w:rPr>
            </w:pPr>
            <w:r>
              <w:rPr>
                <w:rFonts w:ascii="Arial" w:cs="Arial" w:eastAsia="Arial" w:hAnsi="Arial"/>
                <w:sz w:val="18"/>
                <w:szCs w:val="18"/>
                <w:color w:val="auto"/>
                <w:w w:val="96"/>
              </w:rPr>
              <w:t>46.6</w:t>
            </w:r>
          </w:p>
        </w:tc>
      </w:tr>
      <w:tr>
        <w:trPr>
          <w:trHeight w:val="240"/>
        </w:trPr>
        <w:tc>
          <w:tcPr>
            <w:tcW w:w="4340" w:type="dxa"/>
            <w:vAlign w:val="bottom"/>
          </w:tcPr>
          <w:p>
            <w:pPr>
              <w:ind w:left="20"/>
              <w:spacing w:after="0"/>
              <w:rPr>
                <w:sz w:val="20"/>
                <w:szCs w:val="20"/>
                <w:color w:val="auto"/>
              </w:rPr>
            </w:pPr>
            <w:r>
              <w:rPr>
                <w:rFonts w:ascii="Arial" w:cs="Arial" w:eastAsia="Arial" w:hAnsi="Arial"/>
                <w:sz w:val="18"/>
                <w:szCs w:val="18"/>
                <w:color w:val="auto"/>
              </w:rPr>
              <w:t>Restructuring and exit activity charges</w:t>
            </w:r>
          </w:p>
        </w:tc>
        <w:tc>
          <w:tcPr>
            <w:tcW w:w="180" w:type="dxa"/>
            <w:vAlign w:val="bottom"/>
          </w:tcPr>
          <w:p>
            <w:pPr>
              <w:spacing w:after="0"/>
              <w:rPr>
                <w:sz w:val="20"/>
                <w:szCs w:val="20"/>
                <w:color w:val="auto"/>
              </w:rPr>
            </w:pPr>
          </w:p>
        </w:tc>
        <w:tc>
          <w:tcPr>
            <w:tcW w:w="1020" w:type="dxa"/>
            <w:vAlign w:val="bottom"/>
          </w:tcPr>
          <w:p>
            <w:pPr>
              <w:jc w:val="center"/>
              <w:ind w:left="531"/>
              <w:spacing w:after="0"/>
              <w:rPr>
                <w:sz w:val="20"/>
                <w:szCs w:val="20"/>
                <w:color w:val="auto"/>
              </w:rPr>
            </w:pPr>
            <w:r>
              <w:rPr>
                <w:rFonts w:ascii="Arial" w:cs="Arial" w:eastAsia="Arial" w:hAnsi="Arial"/>
                <w:sz w:val="18"/>
                <w:szCs w:val="18"/>
                <w:color w:val="auto"/>
                <w:w w:val="95"/>
              </w:rPr>
              <w:t>1.3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left="49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left="791"/>
              <w:spacing w:after="0"/>
              <w:rPr>
                <w:sz w:val="20"/>
                <w:szCs w:val="20"/>
                <w:color w:val="auto"/>
              </w:rPr>
            </w:pPr>
            <w:r>
              <w:rPr>
                <w:rFonts w:ascii="Arial" w:cs="Arial" w:eastAsia="Arial" w:hAnsi="Arial"/>
                <w:sz w:val="18"/>
                <w:szCs w:val="18"/>
                <w:color w:val="auto"/>
                <w:w w:val="96"/>
              </w:rPr>
              <w:t>20.1</w:t>
            </w:r>
          </w:p>
        </w:tc>
      </w:tr>
      <w:tr>
        <w:trPr>
          <w:trHeight w:val="24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Paid during the period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531"/>
              <w:spacing w:after="0"/>
              <w:rPr>
                <w:sz w:val="20"/>
                <w:szCs w:val="20"/>
                <w:color w:val="auto"/>
              </w:rPr>
            </w:pPr>
            <w:r>
              <w:rPr>
                <w:rFonts w:ascii="Arial" w:cs="Arial" w:eastAsia="Arial" w:hAnsi="Arial"/>
                <w:sz w:val="18"/>
                <w:szCs w:val="18"/>
                <w:color w:val="auto"/>
                <w:w w:val="97"/>
              </w:rPr>
              <w:t>(2.9)</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471"/>
              <w:spacing w:after="0"/>
              <w:rPr>
                <w:sz w:val="20"/>
                <w:szCs w:val="20"/>
                <w:color w:val="auto"/>
              </w:rPr>
            </w:pPr>
            <w:r>
              <w:rPr>
                <w:rFonts w:ascii="Arial" w:cs="Arial" w:eastAsia="Arial" w:hAnsi="Arial"/>
                <w:sz w:val="18"/>
                <w:szCs w:val="18"/>
                <w:color w:val="auto"/>
                <w:w w:val="97"/>
              </w:rPr>
              <w:t>(2.2)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8"/>
                <w:szCs w:val="18"/>
                <w:color w:val="auto"/>
                <w:w w:val="97"/>
              </w:rPr>
              <w:t>(36.4)</w:t>
            </w:r>
          </w:p>
        </w:tc>
      </w:tr>
      <w:tr>
        <w:trPr>
          <w:trHeight w:val="234"/>
        </w:trPr>
        <w:tc>
          <w:tcPr>
            <w:tcW w:w="4340" w:type="dxa"/>
            <w:vAlign w:val="bottom"/>
          </w:tcPr>
          <w:p>
            <w:pPr>
              <w:ind w:left="20"/>
              <w:spacing w:after="0"/>
              <w:rPr>
                <w:sz w:val="20"/>
                <w:szCs w:val="20"/>
                <w:color w:val="auto"/>
              </w:rPr>
            </w:pPr>
            <w:r>
              <w:rPr>
                <w:rFonts w:ascii="Arial" w:cs="Arial" w:eastAsia="Arial" w:hAnsi="Arial"/>
                <w:sz w:val="18"/>
                <w:szCs w:val="18"/>
                <w:color w:val="auto"/>
              </w:rPr>
              <w:t>Accrued charges as of September 30, 2026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center"/>
              <w:ind w:left="531"/>
              <w:spacing w:after="0"/>
              <w:rPr>
                <w:sz w:val="20"/>
                <w:szCs w:val="20"/>
                <w:color w:val="auto"/>
              </w:rPr>
            </w:pPr>
            <w:r>
              <w:rPr>
                <w:rFonts w:ascii="Arial" w:cs="Arial" w:eastAsia="Arial" w:hAnsi="Arial"/>
                <w:sz w:val="18"/>
                <w:szCs w:val="18"/>
                <w:color w:val="auto"/>
                <w:w w:val="95"/>
              </w:rPr>
              <w:t>1.6</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4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center"/>
              <w:ind w:left="791"/>
              <w:spacing w:after="0"/>
              <w:rPr>
                <w:sz w:val="20"/>
                <w:szCs w:val="20"/>
                <w:color w:val="auto"/>
              </w:rPr>
            </w:pPr>
            <w:r>
              <w:rPr>
                <w:rFonts w:ascii="Arial" w:cs="Arial" w:eastAsia="Arial" w:hAnsi="Arial"/>
                <w:sz w:val="18"/>
                <w:szCs w:val="18"/>
                <w:color w:val="auto"/>
                <w:w w:val="96"/>
              </w:rPr>
              <w:t>30.4</w:t>
            </w: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discussion should be read in conjunction with our 2025 10-K Report and the unaudited Condensed Consolidated Financial Statements and related Notes in Item 1 – Financial Statements of this 10-Q Report. A reference to a "Note" herein refers to the accompanying Notes to the Condensed Consolidated Financial Statements contained in Item 1 – Financial Statements. The following discussion may contain forward-looking statements, and our actual results may differ materially from the results suggested by these forward-looking statements. Some factors that may cause our results to differ are disclosed in Item 1A – Risk Factors of our 2025 10-K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This 10-Q Report and the information incorporated by reference in it, or made by us in other reports, filings with the U.S. Securities and Exchange Commission (the "SEC"), press releases, teleconferences, industry conferences or otherwise, contain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"expect," "estimate," "project," "could," "would," "will," "might," "continue," "plan," "ability," "achieve," "can," "intend," "impact," "may," "potential," "remain," "strategy," "design," "future," "forecast," "pursue," "schedule," or words or phrases of similar meaning. Specifically, this 10-Q Report includes forward-looking statements regarding (i) expectations regarding macroeconomic conditions, including inflation and its impact on us,</w:t>
      </w:r>
    </w:p>
    <w:p>
      <w:pPr>
        <w:spacing w:after="0" w:line="1" w:lineRule="exact"/>
        <w:rPr>
          <w:sz w:val="20"/>
          <w:szCs w:val="20"/>
          <w:color w:val="auto"/>
        </w:rPr>
      </w:pPr>
    </w:p>
    <w:p>
      <w:pPr>
        <w:jc w:val="both"/>
        <w:ind w:firstLine="7"/>
        <w:spacing w:after="0" w:line="249" w:lineRule="auto"/>
        <w:tabs>
          <w:tab w:leader="none" w:pos="2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in the aviation, land, and marine markets and their impact on our business, (iii) growth in our core businesses, (iv) the impact of fuel prices and our working capital, liquidity, and capital expenditure requirements, (v) our expectations and estimates regarding tax, legal and accounting matters, accounting standards and environmental credits, including the impact on our financial statements, (vi) our hedging strategy, (vii) our acquisitions, divestitures, restructurings and other strategic transactions (viii) global trade trends and patterns, including the impact of tariffs and global conflicts, and (ix) estimates regarding the financial impact of our derivative and other trading contracts. Our forward-looking statements are qualified in their entirety by cautionary statements and risk factor disclosures contained in our SEC filings.</w:t>
      </w:r>
    </w:p>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56" w:lineRule="exact"/>
        <w:rPr>
          <w:sz w:val="20"/>
          <w:szCs w:val="20"/>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market prices of, or an unexpected shortage or disruption in the supply of, energy or commodities or extremely high or low fuel prices that continue for an extended period of time;</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113" w:lineRule="exact"/>
        <w:rPr>
          <w:rFonts w:ascii="Arial" w:cs="Arial" w:eastAsia="Arial" w:hAnsi="Arial"/>
          <w:sz w:val="18"/>
          <w:szCs w:val="18"/>
          <w:color w:val="auto"/>
        </w:rPr>
      </w:pPr>
    </w:p>
    <w:p>
      <w:pPr>
        <w:ind w:left="640" w:hanging="313"/>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political, economic or regulatory environment generally and in the markets in which we operate, including as a result of the current conflicts in the Middle East and Eastern Europe;</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effectively mitigate certain financial risks and other risks associated with derivatives and our physical fuel products;</w:t>
      </w:r>
    </w:p>
    <w:p>
      <w:pPr>
        <w:spacing w:after="0" w:line="113"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relationships with our employees and potential labor disputes associated with employees covered by collective bargaining agreements;</w:t>
      </w:r>
    </w:p>
    <w:p>
      <w:pPr>
        <w:spacing w:after="0" w:line="55" w:lineRule="exact"/>
        <w:rPr>
          <w:rFonts w:ascii="Arial" w:cs="Arial" w:eastAsia="Arial" w:hAnsi="Arial"/>
          <w:sz w:val="18"/>
          <w:szCs w:val="18"/>
          <w:color w:val="auto"/>
        </w:rPr>
      </w:pPr>
    </w:p>
    <w:p>
      <w:pPr>
        <w:ind w:left="640" w:hanging="313"/>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governing our outstanding indebtedness;</w:t>
      </w:r>
    </w:p>
    <w:p>
      <w:pPr>
        <w:spacing w:after="0" w:line="113" w:lineRule="exact"/>
        <w:rPr>
          <w:rFonts w:ascii="Arial" w:cs="Arial" w:eastAsia="Arial" w:hAnsi="Arial"/>
          <w:sz w:val="18"/>
          <w:szCs w:val="18"/>
          <w:color w:val="auto"/>
        </w:rPr>
      </w:pPr>
    </w:p>
    <w:p>
      <w:pPr>
        <w:ind w:left="640" w:right="20" w:hanging="313"/>
        <w:spacing w:after="0" w:line="277"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cyber, artificial intelligence and other information technology or security related incidents on us, our customers or other parties;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29" w:name="page30"/>
    <w:bookmarkEnd w:id="29"/>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tariffs or retaliatory tariffs and other trade measures, or renegotiation of existing trade arrangements;</w:t>
      </w:r>
    </w:p>
    <w:p>
      <w:pPr>
        <w:spacing w:after="0" w:line="113" w:lineRule="exact"/>
        <w:rPr>
          <w:rFonts w:ascii="Arial" w:cs="Arial" w:eastAsia="Arial" w:hAnsi="Arial"/>
          <w:sz w:val="18"/>
          <w:szCs w:val="18"/>
          <w:color w:val="auto"/>
        </w:rPr>
      </w:pPr>
    </w:p>
    <w:p>
      <w:pPr>
        <w:jc w:val="both"/>
        <w:ind w:left="320" w:hanging="313"/>
        <w:spacing w:after="0" w:line="25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greenhouse gas reduction programs and other environmental and climate change legislation adopted by governments around the world, including cap and trade regimes, carbon taxes, increased efficiency standards and mandates for renewable energy, and increased scrutiny on environmental and carbon offset credits, each of which could increase our operating and compliance costs as well as adversely impact our sales of fuel products;</w:t>
      </w:r>
    </w:p>
    <w:p>
      <w:pPr>
        <w:spacing w:after="0" w:line="74"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 or fully realize the anticipated benefits of our acquisitions, divestitures and other strategic transactions;</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complete divestitures in accordance with anticipated timing;</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than expected cash flows and revenues, which could impair our ability to realize the value of recorded intangible assets and goodwill;</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fluctuations;</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inflationary pressures and their impact on our customers or the global economy, including sudden or significant increases in interest rates or a global recession;</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effectively leverage technology and operating systems and realize the anticipated benefits;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proliferation of alternative fuel which could result in lower global demand for certain energy sources;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meet fuel and other product specifications agreed with our customers;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reputational harm from adverse publicity arising out of spills, environmental contamination or public perception about the impacts on climate change by us or other companies in our industry;</w:t>
      </w:r>
    </w:p>
    <w:p>
      <w:pPr>
        <w:spacing w:after="0" w:line="55"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or route closures and other logistical difficulties that arise when working in these areas;</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uninsured or underinsured losses;</w:t>
      </w:r>
    </w:p>
    <w:p>
      <w:pPr>
        <w:spacing w:after="0" w:line="113" w:lineRule="exact"/>
        <w:rPr>
          <w:rFonts w:ascii="Arial" w:cs="Arial" w:eastAsia="Arial" w:hAnsi="Arial"/>
          <w:sz w:val="18"/>
          <w:szCs w:val="18"/>
          <w:color w:val="auto"/>
        </w:rPr>
      </w:pPr>
    </w:p>
    <w:p>
      <w:pPr>
        <w:ind w:left="320" w:right="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 as well as the impact of natural disasters, such as earthquakes, hurricanes and wildfires;</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pandemics, terrorism, global conflicts, power outages, and other events that could impact demand for fuel;</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113"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U.S. or foreign tax laws, interpretations of such laws, changes in the mix of taxable income among different tax jurisdictions, or adverse results of tax audits, assessments, or disputes;</w:t>
      </w:r>
    </w:p>
    <w:p>
      <w:pPr>
        <w:spacing w:after="0" w:line="55" w:lineRule="exact"/>
        <w:rPr>
          <w:rFonts w:ascii="Arial" w:cs="Arial" w:eastAsia="Arial" w:hAnsi="Arial"/>
          <w:sz w:val="18"/>
          <w:szCs w:val="18"/>
          <w:color w:val="auto"/>
        </w:rPr>
      </w:pPr>
    </w:p>
    <w:p>
      <w:pPr>
        <w:ind w:left="320" w:right="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to generate sufficient future taxable income in jurisdictions with material deferred tax assets and net operating loss carryforwards;</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multilateral conventions, treaties, tariffs and trade measures or other arrangements between or among sovereign nations;</w:t>
      </w:r>
    </w:p>
    <w:p>
      <w:pPr>
        <w:spacing w:after="0" w:line="113" w:lineRule="exact"/>
        <w:rPr>
          <w:rFonts w:ascii="Arial" w:cs="Arial" w:eastAsia="Arial" w:hAnsi="Arial"/>
          <w:sz w:val="18"/>
          <w:szCs w:val="18"/>
          <w:color w:val="auto"/>
        </w:rPr>
      </w:pPr>
    </w:p>
    <w:p>
      <w:pPr>
        <w:ind w:left="320" w:hanging="313"/>
        <w:spacing w:after="0" w:line="277"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55" w:lineRule="exact"/>
        <w:rPr>
          <w:rFonts w:ascii="Arial" w:cs="Arial" w:eastAsia="Arial" w:hAnsi="Arial"/>
          <w:sz w:val="18"/>
          <w:szCs w:val="18"/>
          <w:color w:val="auto"/>
        </w:rPr>
      </w:pPr>
    </w:p>
    <w:p>
      <w:pPr>
        <w:ind w:left="320" w:hanging="313"/>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litigation, regulatory investigations and other legal matters, including the associated legal and other costs; and</w:t>
      </w:r>
    </w:p>
    <w:p>
      <w:pPr>
        <w:spacing w:after="0" w:line="200" w:lineRule="exact"/>
        <w:rPr>
          <w:sz w:val="20"/>
          <w:szCs w:val="20"/>
          <w:color w:val="auto"/>
        </w:rPr>
      </w:pPr>
    </w:p>
    <w:p>
      <w:pPr>
        <w:spacing w:after="0" w:line="35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137795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097" w:right="339" w:bottom="1440" w:gutter="0" w:footer="0" w:header="0"/>
        </w:sectPr>
      </w:pPr>
    </w:p>
    <w:bookmarkStart w:id="30" w:name="page31"/>
    <w:bookmarkEnd w:id="30"/>
    <w:p>
      <w:pPr>
        <w:ind w:left="640" w:right="20" w:hanging="313"/>
        <w:spacing w:after="0" w:line="277"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2025 10-K Report, together with those described from time to time in our other filings with the SEC.</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10-Q Report that modify or impact any of the forward-looking statements contained in or accompanying this 10-Q Report will be deemed to modify or supersede such forward-looking statements.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of 1934, as amended (the "Exchange Act").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a leading global provider of aviation, marine, and ground-based transportation fuels and complementary services operating under our core commercial brand, World Fuel. Through an integrated global supply and logistics network, we source and distribute products and services to meet customer needs across more than 200 countries and territories throughout the world, including lower-carbon fuels to support our customers' energy-transition objectives. In the United States, we also market natural gas and related solutions.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Exit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Exit Activities</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fourth quarter of 2025, management committed to and initiated actions to execute a plan to exit certain operations within the land segment, including direct fuel transportation services, lubricants, heating oil, power, and certain advisory and sustainability offerings, that were no longer profitable or not aligned with the Company's core business and corporate strategy. As a result of the actions taken, we recognized charges for exit activities totaling $57.8 million, comprised of severance and compensation costs of $26.2 million, charges associated with various legal matters and contract termination costs of $21.7 million, write-offs of receivables and other assets of $5.1 million, and a loss on the sale of assets of $4.7 million. In addition, we recognized asset impairment charges of $5.8 million related to assets no longer in use or expected to provide nominal future economic benefit.</w:t>
      </w:r>
    </w:p>
    <w:p>
      <w:pPr>
        <w:spacing w:after="0" w:line="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continued to execute these plans in 2026, and also initiated actions to exit certain businesses within the aviation segment, and as a result of the actions taken during the nine months ended September 30, 2026 within the land and aviation segments, we recognized a net credit for exit activities totaling $1.6 million, comprised of net gains on the sale of assets of $17.0 million, which were partially offset by charges associated with various legal matters and contract termination costs of $8.1 million and severance and compensation costs of $7.3 million. In addition, as a result of the actions taken in 2026, we recognized additional allowances for current expected credit losses of $3.0 million with respect to accounts receivable associated with exited business lines and $23.2 million with respect to notes receivable from an equity method investee, resulting from our decision to discontinue ongoing financial support.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 2. Acquisitions and Divestitures and Note 14. Restructuring and Exit Activities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Restructuring Plan</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first quarter of 2025, in alignment with ongoing efforts to rationalize our assets and operations, we began the 2025 Restructuring Plan, a company-wide restructuring initiative designed to further streamline our operating model and enhance organizational efficiency and effectiveness. As part of this initiative, we undertook cost management actions in response to the current and projected business needs, including the closure of certain open positions and the elimination of other roles to better align the workforce with our current strategic priorities. These actions are expected to result in approximately $30 million in annualized compensation-related savings. As a component of the 2025 Restructuring Plan, in June 2025, we launched a program intended to optimize our global finance and accounting operations. We expect this initiative to result in some initial cost savings beginning in 2026 and with increased savings in following years. Total cost savings for the five-year period from 2026 through 2030 are expected to be approximately $80 million. During the fourth quarter of 2025, we also announced an executive transition as a component of the 2025 Restructuring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jc w:val="both"/>
        <w:spacing w:after="0" w:line="252" w:lineRule="auto"/>
        <w:rPr>
          <w:sz w:val="20"/>
          <w:szCs w:val="20"/>
          <w:color w:val="auto"/>
        </w:rPr>
      </w:pPr>
      <w:r>
        <w:rPr>
          <w:rFonts w:ascii="Arial" w:cs="Arial" w:eastAsia="Arial" w:hAnsi="Arial"/>
          <w:sz w:val="18"/>
          <w:szCs w:val="18"/>
          <w:color w:val="auto"/>
        </w:rPr>
        <w:t>As a result of the actions taken under the 2025 Restructuring Plan, we recognized $ 45.2 million of restructuring charges associated with the 2025 Restructuring Plan during the year ended December 31, 2025, including $32.7 million of severance and other compensation costs and $12.6 million of other transition related costs. During the nine months ended September 30, 2026, we recognized $15.7 million of charges associated with the 2025 Restructuring Plan, consisting primarily of costs associated with the global finance and accounting optimization program as well as additional severance and other compensation costs. We plan to complete the transition activities associated with the global finance and accounting optimization in the fourth quarter of 2026 and expect to recognize an additional $2.0 million in transition costs and one-time charges associated with the planned global finance and accounting initiatives during the year ending December 31, 2026.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Note 14. Restructuring and Exit Activities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three reportable segments consisting of aviation, land, and marine. For additional discussion on our reportable segments, see "Reportable Segments" under Part I, Item 1 – Business in our 2025 10-K Report. Selected financial information with respect to our business segments is provided in Note 12.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Aviation Segment</w:t>
      </w:r>
    </w:p>
    <w:p>
      <w:pPr>
        <w:spacing w:after="0" w:line="2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aviation segment has benefited from growth in our fuel and related service offerings, as well as our enhanced logistics capabilities and the geographic expansion of our aviation fueling operations into additional international airport locations. We have successfully achieved higher returns in a high interest rate environment, driven in part by targeted improvements in working capital management consistent with our strategy to rationalize lower-return business activity. In connection with our efforts to accelerate growth in our core businesses, we completed the acquisition of Universal TSS in the fourth quarter of 2025. See Note 2. Acquisitions and Divestitures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Land Segment</w:t>
      </w:r>
    </w:p>
    <w:p>
      <w:pPr>
        <w:spacing w:after="0" w:line="2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our land segment, we continue to focus on improving capital efficiency, leveraging the capabilities of our acquisitions, and realigning our operational platform. In 2025, we launched an initiative designed to further streamline our operating model and enhance organizational efficiency and effectiveness. On April 9, 2025, we closed the Watson Fuels sale, and in the fourth quarter of 2025 and into 2026, we committed to and initiated actions to exit certain operations within the land segment, including direct fuel transportation services, lubricants, heating oil, power, and certain advisory and sustainability offerings, that are no longer profitable or not aligned with the Company's core business and corporate strategy. In June 2026, we closed on the sale of a majority of the Land Fuel Transportation and Lubricants disposal group. See Note</w:t>
      </w:r>
    </w:p>
    <w:p>
      <w:pPr>
        <w:spacing w:after="0" w:line="1" w:lineRule="exact"/>
        <w:rPr>
          <w:sz w:val="20"/>
          <w:szCs w:val="20"/>
          <w:color w:val="auto"/>
        </w:rPr>
      </w:pPr>
    </w:p>
    <w:p>
      <w:pPr>
        <w:ind w:firstLine="7"/>
        <w:spacing w:after="0" w:line="259"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Acquisitions and Divestitures and Note 14. Restructuring and Exit Activities for additional information about the actions taken and related impairment charges.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Marine Segment</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that our marine business is well-positioned to generate relatively moderate levels of earnings in stable markets and provide additional value in volatile and credit constrained markets. Due to the generally spot nature of sales in our marine business, we have traditionally benefited from elevated fuel prices and volatility as well as a constrained credit environment, as seen during the first nine months of 2026, with the increase in global oil prices and related volatility resulting in a significant improvement in marine segment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current global environment, including ongoing geopolitical conflicts and changes in U.S. trade policy, may impact commodity prices, international trade, supply availability, and overall demand for global transportation services. Tariffs, route closures, and other trade restrictions can lead to continuing uncertainty and volatility in global financial and commodity markets, declining consumer confidence, lower personal and business travel and consequent demand for our fuel products. The escalation of conflict in the Middle East has created increased geopolitical and economic uncertainty, particularly within global energy markets. These developments have contributed to heightened volatility in fuel and energy prices worldwide. While we are often able to benefit from periods of market volatility, extended volatility could result in reduced demand or supply uncertainties, which could adversely impact our results.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252" w:lineRule="auto"/>
        <w:rPr>
          <w:sz w:val="20"/>
          <w:szCs w:val="20"/>
          <w:color w:val="auto"/>
        </w:rPr>
      </w:pPr>
      <w:r>
        <w:rPr>
          <w:rFonts w:ascii="Arial" w:cs="Arial" w:eastAsia="Arial" w:hAnsi="Arial"/>
          <w:sz w:val="18"/>
          <w:szCs w:val="18"/>
          <w:color w:val="auto"/>
        </w:rPr>
        <w:t>In recent years, inflation in the United States and other jurisdictions in which we do business has increased significantly, driven in part by supply chain disruptions, labor shortages and increased commodity prices, which generally resulted in higher costs. In a rising cost environment, there may be offsetting benefits either inherent in certain parts of our business or that may result from proactive measures we take to reduce the impact of inflation on our net operating results. These benefits can include higher commodity prices that typically result in a constrained credit environment, often creating favorable market conditions that increase demand for our services, as well as our ability to renegotiate prices due to many of our sales contracts being 12 months or less in duration. Additionally, we take measures to mitigate the impact of increases in fuel prices through comprehensive hedging programs and the use of financial derivative contracts.</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seen some impact associated with changes in U.S. policy and trade-related uncertainty. While a February 20, 2026 Supreme Court ruling struck down a sweeping series of tariffs that had been imposed in 2025, substantial uncertainty remains with respect to how the ruling will be interpreted and whether some of such tariffs might be reimposed under different legal authority. A significant or prolonged period of trade uncertainty or high inflation could adversely impact our results. Higher interest rates also typically increase the interest expense associated with our credit arrangements with banks and other parties that serve as important sources of liquidity for us, which can therefore negatively impact our results of operations for a particular period. We will continue to monitor recent developments on trade-related uncertainty and tariff policy and evaluate any changes to the applicability of these policies on our business as they occur.</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See "We extend credit to many of our customers in connection with their purchase of fuel and services from us, and our business, financial condition, results of operations and cash flows will be adversely affected if we are unable to collect accounts receivable," "Changes in the market prices of energy and commodities may have a material adverse effect on our business," "Our business depends on our ability to adequately finance our capital requirements and fund our investments, which, if not available to us, would impact our ability to conduct our operations," "Significant inflation and higher interest rates may adversely affect our business and financial condition," and "Our derivative transactions with customers, suppliers, merchants and financial institutions expose us to price and credit risks, which could have a material adverse effect on our business" in Item 1A. – Risk Factors in our 2025 10-K Report for additional discussion of these risks.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2026 Compared to Three Months Ended September 30, 2025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400" w:type="dxa"/>
            <w:vAlign w:val="bottom"/>
          </w:tcPr>
          <w:p>
            <w:pPr>
              <w:spacing w:after="0"/>
              <w:rPr>
                <w:sz w:val="20"/>
                <w:szCs w:val="20"/>
                <w:color w:val="auto"/>
              </w:rPr>
            </w:pPr>
          </w:p>
        </w:tc>
        <w:tc>
          <w:tcPr>
            <w:tcW w:w="484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8"/>
                <w:szCs w:val="18"/>
                <w:b w:val="1"/>
                <w:bCs w:val="1"/>
                <w:color w:val="auto"/>
              </w:rPr>
              <w:t>For the Three Months Ended September 30,</w:t>
            </w:r>
          </w:p>
        </w:tc>
      </w:tr>
      <w:tr>
        <w:trPr>
          <w:trHeight w:val="234"/>
        </w:trPr>
        <w:tc>
          <w:tcPr>
            <w:tcW w:w="64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2026</w:t>
            </w: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891"/>
              <w:spacing w:after="0"/>
              <w:rPr>
                <w:sz w:val="20"/>
                <w:szCs w:val="20"/>
                <w:color w:val="auto"/>
              </w:rPr>
            </w:pPr>
            <w:r>
              <w:rPr>
                <w:rFonts w:ascii="Arial" w:cs="Arial" w:eastAsia="Arial" w:hAnsi="Arial"/>
                <w:sz w:val="18"/>
                <w:szCs w:val="18"/>
                <w:b w:val="1"/>
                <w:bCs w:val="1"/>
                <w:color w:val="auto"/>
              </w:rPr>
              <w:t>2025</w:t>
            </w:r>
          </w:p>
        </w:tc>
      </w:tr>
      <w:tr>
        <w:trPr>
          <w:trHeight w:val="23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9,391.8</w:t>
            </w:r>
          </w:p>
        </w:tc>
      </w:tr>
      <w:tr>
        <w:trPr>
          <w:trHeight w:val="24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12,982.6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9,142.2</w:t>
            </w:r>
          </w:p>
        </w:tc>
      </w:tr>
      <w:tr>
        <w:trPr>
          <w:trHeight w:val="23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22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4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r>
      <w:tr>
        <w:trPr>
          <w:trHeight w:val="240"/>
        </w:trPr>
        <w:tc>
          <w:tcPr>
            <w:tcW w:w="64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4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34"/>
        </w:trPr>
        <w:tc>
          <w:tcPr>
            <w:tcW w:w="6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34"/>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2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40"/>
        </w:trPr>
        <w:tc>
          <w:tcPr>
            <w:tcW w:w="640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6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r>
      <w:tr>
        <w:trPr>
          <w:trHeight w:val="23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4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r>
      <w:tr>
        <w:trPr>
          <w:trHeight w:val="234"/>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4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three months ended September 30, 2026 was $13.3 billion, an increase of $3.9 billion, or 41%,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2025, attributable to increased revenue of $2.8 billion, $0.8 billion, and $0.3 billion in our aviation, marine, and land segments, respectively, as discussed further below.</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three months ended September 30, 2026 was $288.1 million, an increase of $38.5 million, or 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2025, attributable to increased gross profit of $33.3 million and $5.2 million in our marine and aviation segments, respectively, as discussed further below.</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three months ended September 30, 2026 were $208.0 million, an increase of $21.2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11%, compared to the three months ended September 30, 2025. The increase in operating expenses was primarily attributable to an allowance for current expected credit losses recognized during the three months ended September 30, 2026 with respect to notes receivable from an equity method investee reported as corporate and other, resulting from our decision to discontinue ongoing financial support, as well as increased operating expenses associated with the Universal TSS acquisition. These increases were partially offset by the cost reduction impact of the business exits in the land segment initiated in the fourth quarter of 2025 and the impact of gains recognized on the sale of assets associated with business exits during the three months ended September 30, 2026.</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three months ended September 30, 2026, we had net non-operating expense of $23.8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$24.0 million for the three months ended September 30, 2025. The decrease of $0.2 million during the three months ended September 30, 2026 was primarily attributable to an increase in other income, largely offset by higher interest expense.</w:t>
      </w:r>
    </w:p>
    <w:p>
      <w:pPr>
        <w:spacing w:after="0" w:line="6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For the three months ended September 30, 2026, we recognized an income tax expense of $18.4 million, compared to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expense of $10.7 million for the three months ended September 30, 2025. The increase of $7.8 million was primarily attributable to a net discrete tax expense of $4.5 million for the three months ended September 30, 2026 compared to a net discrete tax benefit of $1.0 million for the three months ended September 30, 2025 and higher income before income taxes, partially offset by changes in the mix of our worldwide earnings. See Note 11. Income Taxes for additional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aviation segment results of operations for the periods indicated (in millions, except price per gallon):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spacing w:after="0"/>
              <w:rPr>
                <w:sz w:val="20"/>
                <w:szCs w:val="20"/>
                <w:color w:val="auto"/>
              </w:rPr>
            </w:pPr>
          </w:p>
        </w:tc>
        <w:tc>
          <w:tcPr>
            <w:tcW w:w="48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September 30,</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4480" w:type="dxa"/>
            <w:vAlign w:val="bottom"/>
            <w:tcBorders>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2026</w:t>
            </w:r>
          </w:p>
        </w:tc>
        <w:tc>
          <w:tcPr>
            <w:tcW w:w="8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2,779.6</w:t>
            </w:r>
          </w:p>
        </w:tc>
      </w:tr>
      <w:tr>
        <w:trPr>
          <w:trHeight w:val="93"/>
        </w:trPr>
        <w:tc>
          <w:tcPr>
            <w:tcW w:w="44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5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0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40"/>
        </w:trPr>
        <w:tc>
          <w:tcPr>
            <w:tcW w:w="448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1,850.3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1,829.1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bl>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Revenues in our aviation segment were $7.6 billion for the three months ended September 30, 2026, an increase of $2.8 billion, or 57%, compared to the three months ended September 30, 2025. The increase in revenue was primarily driven by a 58% increase in average jet fuel price per gallon. Total aviation volumes increased by 21.2 million gallons, or 1%, to 1.9 billion gallons.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Aviation segment gross profit for the three months ended September 30, 2026 was $147.9 million, an increase of $5.2 million, or 4%, compared to the three months ended September 30, 2025. The increase in gross profit was primarily attributable to the contribution from the Universal TSS acquisition that closed in the fourth quarter of 2025 and growth in our core commercial fuel business, principally in Europe and Latin America, partially offset by lower physical inventory-related profitability in our core commercial business during the three months ended September 30, 2026.</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our aviation segment for the three months ended September 30, 2026 was $77.5 million, an increase of $0.4 million, or 1%, compared to the three months ended September 30, 2025, driven by the increase in gross profit discussed above, partially offset by an increase in operating expenses. The increase in operating expenses was primarily attributable to the incremental operating costs associated with the Universal TSS business acquired in the fourth quarter of 2025, partially offset by gains recognized on the sale of assets associated with business exits during the three months ended September 30, 2026.</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land segment results of operations for the periods indicated (in millions, except price per gallon):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80" w:type="dxa"/>
            <w:vAlign w:val="bottom"/>
          </w:tcPr>
          <w:p>
            <w:pPr>
              <w:spacing w:after="0"/>
              <w:rPr>
                <w:sz w:val="20"/>
                <w:szCs w:val="20"/>
                <w:color w:val="auto"/>
              </w:rPr>
            </w:pPr>
          </w:p>
        </w:tc>
        <w:tc>
          <w:tcPr>
            <w:tcW w:w="486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Three Months Ended September 30,</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4"/>
        </w:trPr>
        <w:tc>
          <w:tcPr>
            <w:tcW w:w="4480" w:type="dxa"/>
            <w:vAlign w:val="bottom"/>
            <w:tcBorders>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2026</w:t>
            </w:r>
          </w:p>
        </w:tc>
        <w:tc>
          <w:tcPr>
            <w:tcW w:w="8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2,535.6</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w:t>
            </w:r>
          </w:p>
        </w:tc>
      </w:tr>
      <w:tr>
        <w:trPr>
          <w:trHeight w:val="93"/>
        </w:trPr>
        <w:tc>
          <w:tcPr>
            <w:tcW w:w="44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4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r>
      <w:tr>
        <w:trPr>
          <w:trHeight w:val="259"/>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500" w:type="dxa"/>
            <w:vAlign w:val="bottom"/>
            <w:tcBorders>
              <w:bottom w:val="single" w:sz="8" w:color="auto"/>
            </w:tcBorders>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4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40"/>
        </w:trPr>
        <w:tc>
          <w:tcPr>
            <w:tcW w:w="448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1,382.5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(178.2)</w:t>
            </w:r>
          </w:p>
        </w:tc>
      </w:tr>
      <w:tr>
        <w:trPr>
          <w:trHeight w:val="24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500" w:type="dxa"/>
            <w:vAlign w:val="bottom"/>
            <w:shd w:val="clear" w:color="auto" w:fill="CCEEFF"/>
          </w:tcPr>
          <w:p>
            <w:pPr>
              <w:jc w:val="right"/>
              <w:ind w:right="129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r>
    </w:tbl>
    <w:p>
      <w:pPr>
        <w:spacing w:after="0" w:line="183" w:lineRule="exact"/>
        <w:rPr>
          <w:sz w:val="20"/>
          <w:szCs w:val="20"/>
          <w:color w:val="auto"/>
        </w:rPr>
      </w:pPr>
    </w:p>
    <w:p>
      <w:pPr>
        <w:ind w:left="320" w:hanging="313"/>
        <w:spacing w:after="0" w:line="227" w:lineRule="auto"/>
        <w:tabs>
          <w:tab w:leader="none" w:pos="31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 our land segment were $2.9 billion for the three months ended September 30, 2026, an increase of $320.1 million, or 13%, compared to the three months ended September 30, 2025. The increase in revenue was principally driven by higher average prices, partially offset by a decrease in volume. Average fuel prices increased by 18%. Total volumes decreased by 178.2 million, or 13%, to 1.2 billion gallons or gallon equivalents, primarily attributable to decreased volumes in our European power business, which is considered non-core and in the process of being exited, as well as the Land Fuel Transportation and Lubricants business sold during the second quarter of 2026.</w:t>
      </w:r>
    </w:p>
    <w:p>
      <w:pPr>
        <w:spacing w:after="0" w:line="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Land segment gross profit for the three months ended September 30, 2026 was $81.4 million, flat compared to gross profit of $81.4 million for the three months ended September 30, 2025, primarily attributable to higher contributions from our cardlock network and retail operations in North America, which were largely offset by the impact of the business activity exits initiated in the fourth quarter of 2025.</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 our land segment for the three months ended September 30, 2026 was $27.8 million, an increase of $16.0 million, or 136%, compared to the three months ended September 30, 2025, driven by a decrease in operating expenses primarily attributable to the cost reduction impact of the business exits initiated in the fourth quarter of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provides a summary of our marine segment results of operations for the periods indicated (in millions, except price per metric ton):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4840" w:type="dxa"/>
            <w:vAlign w:val="bottom"/>
            <w:gridSpan w:val="6"/>
          </w:tcPr>
          <w:p>
            <w:pPr>
              <w:ind w:left="520"/>
              <w:spacing w:after="0"/>
              <w:rPr>
                <w:sz w:val="20"/>
                <w:szCs w:val="20"/>
                <w:color w:val="auto"/>
              </w:rPr>
            </w:pPr>
            <w:r>
              <w:rPr>
                <w:rFonts w:ascii="Arial" w:cs="Arial" w:eastAsia="Arial" w:hAnsi="Arial"/>
                <w:sz w:val="18"/>
                <w:szCs w:val="18"/>
                <w:b w:val="1"/>
                <w:bCs w:val="1"/>
                <w:color w:val="auto"/>
              </w:rPr>
              <w:t>For the Three Months Ended September 30,</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4"/>
        </w:trPr>
        <w:tc>
          <w:tcPr>
            <w:tcW w:w="4520" w:type="dxa"/>
            <w:vAlign w:val="bottom"/>
            <w:tcBorders>
              <w:bottom w:val="single" w:sz="8" w:color="CCEEFF"/>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2026</w:t>
            </w:r>
          </w:p>
        </w:tc>
        <w:tc>
          <w:tcPr>
            <w:tcW w:w="8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1,988.1</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r>
      <w:tr>
        <w:trPr>
          <w:trHeight w:val="93"/>
        </w:trPr>
        <w:tc>
          <w:tcPr>
            <w:tcW w:w="4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4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4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5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80" w:type="dxa"/>
            <w:vAlign w:val="bottom"/>
            <w:tcBorders>
              <w:bottom w:val="single" w:sz="8" w:color="auto"/>
            </w:tcBorders>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5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0"/>
        </w:trPr>
        <w:tc>
          <w:tcPr>
            <w:tcW w:w="452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80" w:type="dxa"/>
            <w:vAlign w:val="bottom"/>
            <w:shd w:val="clear" w:color="auto" w:fill="CCEEFF"/>
          </w:tcPr>
          <w:p>
            <w:pPr>
              <w:jc w:val="right"/>
              <w:ind w:right="1271"/>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742.96</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253.06</w:t>
            </w:r>
          </w:p>
        </w:tc>
      </w:tr>
    </w:tbl>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marine segment were $2.8 billion for the three months ended September 30, 2026, an increase of $779.2 million, or 39%, compared to the three months ended September 30, 2025. The increase in revenue was driven by higher average fuel prices, partially offset by a decrease in volume. The average price per metric ton of bunker fuel sold increased by 52%. Total volumes decreased by 0.3 million metric tons, or 8%, to 3.7 million, due to reduced demand driven by the conflict in the Middle East.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6" w:name="page37"/>
    <w:bookmarkEnd w:id="36"/>
    <w:p>
      <w:pPr>
        <w:jc w:val="both"/>
        <w:spacing w:after="0" w:line="262" w:lineRule="auto"/>
        <w:rPr>
          <w:sz w:val="20"/>
          <w:szCs w:val="20"/>
          <w:color w:val="auto"/>
        </w:rPr>
      </w:pPr>
      <w:r>
        <w:rPr>
          <w:rFonts w:ascii="Arial" w:cs="Arial" w:eastAsia="Arial" w:hAnsi="Arial"/>
          <w:sz w:val="18"/>
          <w:szCs w:val="18"/>
          <w:color w:val="auto"/>
        </w:rPr>
        <w:t>Marine segment gross profit for the three months ended September 30, 2026 was $58.8 million, an increase of $33.3 million, or 131%, primarily driven by a higher profit contribution from our core resale business and certain physical locations, which benefited from increased bunker fuel prices and elevated market volatility.</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in our marine segment for the three months ended September 30, 2026 was $36.8 million, an increase of $32.1 million, or 680%, compared to the three months ended September 30, 2025, principally driven by the increase in gross profit discussed above, partially offset by an increase in operating expenses attributable to an increase in reserves for credit losses.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Ended September 30, 2026 Compared to Nine Months Ended September 30, 2025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consolidated results of operations for the periods indicated (in millions,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47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4"/>
        </w:trPr>
        <w:tc>
          <w:tcPr>
            <w:tcW w:w="65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2026</w:t>
            </w: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2025</w:t>
            </w: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20" w:type="dxa"/>
            <w:vAlign w:val="bottom"/>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36,546.9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27,887.6</w:t>
            </w:r>
          </w:p>
        </w:tc>
      </w:tr>
      <w:tr>
        <w:trPr>
          <w:trHeight w:val="24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35,622.5</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27,175.2</w:t>
            </w: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w:t>
            </w:r>
          </w:p>
        </w:tc>
      </w:tr>
      <w:tr>
        <w:trPr>
          <w:trHeight w:val="220"/>
        </w:trPr>
        <w:tc>
          <w:tcPr>
            <w:tcW w:w="6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employee benefits</w:t>
            </w:r>
          </w:p>
        </w:tc>
        <w:tc>
          <w:tcPr>
            <w:tcW w:w="1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w:t>
            </w:r>
          </w:p>
        </w:tc>
      </w:tr>
      <w:tr>
        <w:trPr>
          <w:trHeight w:val="240"/>
        </w:trPr>
        <w:tc>
          <w:tcPr>
            <w:tcW w:w="65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209.2</w:t>
            </w:r>
          </w:p>
        </w:tc>
      </w:tr>
      <w:tr>
        <w:trPr>
          <w:trHeight w:val="24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 and other asset impairments</w:t>
            </w:r>
          </w:p>
        </w:tc>
        <w:tc>
          <w:tcPr>
            <w:tcW w:w="1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r>
      <w:tr>
        <w:trPr>
          <w:trHeight w:val="240"/>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Restructuring charges</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34"/>
        </w:trPr>
        <w:tc>
          <w:tcPr>
            <w:tcW w:w="6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1,001.2</w:t>
            </w:r>
          </w:p>
        </w:tc>
      </w:tr>
      <w:tr>
        <w:trPr>
          <w:trHeight w:val="23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2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(expenses), net:</w:t>
            </w:r>
          </w:p>
        </w:tc>
        <w:tc>
          <w:tcPr>
            <w:tcW w:w="1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40"/>
        </w:trPr>
        <w:tc>
          <w:tcPr>
            <w:tcW w:w="6540" w:type="dxa"/>
            <w:vAlign w:val="bottom"/>
          </w:tcPr>
          <w:p>
            <w:pPr>
              <w:ind w:left="140"/>
              <w:spacing w:after="0"/>
              <w:rPr>
                <w:sz w:val="20"/>
                <w:szCs w:val="20"/>
                <w:color w:val="auto"/>
              </w:rPr>
            </w:pPr>
            <w:r>
              <w:rPr>
                <w:rFonts w:ascii="Arial" w:cs="Arial" w:eastAsia="Arial" w:hAnsi="Arial"/>
                <w:sz w:val="18"/>
                <w:szCs w:val="18"/>
                <w:color w:val="auto"/>
              </w:rPr>
              <w:t>Interest expense and other financing costs, net</w:t>
            </w:r>
          </w:p>
        </w:tc>
        <w:tc>
          <w:tcPr>
            <w:tcW w:w="1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4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4"/>
        </w:trPr>
        <w:tc>
          <w:tcPr>
            <w:tcW w:w="6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non-operating income (expense), net</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w:t>
            </w:r>
          </w:p>
        </w:tc>
      </w:tr>
      <w:tr>
        <w:trPr>
          <w:trHeight w:val="24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34"/>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 noncontrolling interest</w:t>
            </w:r>
          </w:p>
        </w:tc>
        <w:tc>
          <w:tcPr>
            <w:tcW w:w="14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r>
      <w:tr>
        <w:trPr>
          <w:trHeight w:val="24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5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World Kinect</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65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2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consolidated revenue for the nine months ended September 30, 2026 was $36.5 billion, an increase of $8.7 billion, or 31%,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2025, attributable to increased revenue of $6.4 billion, $1.8 billion, and $0.5 billion in our aviation, marine, and land segments, respectively, as discussed further below.</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nine months ended September 30, 2026 was $924.4 million, an increase of $212.0 million, or 30%,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2025, attributable to increased gross profit of $116.6 million and $97.8 million in our marine and aviation segments, respectively, partially offset by decreased gross profit of $2.4 million in our land segment, as discussed further below.</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nine months ended September 30, 2026 were $691.9 million, a decrease of $309.3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31%, compared to the nine months ended September 30, 2025. The decrease in operating expenses was primarily attributable to the $443.1 million of goodwill and other asset impairment charges recognized during the nine months ended September 30, 2025 as well as the impact of the Watson Fuels sale, partially offset by an increase in the allowance for current expected credit losses incurred during the nine months ended September 30, 2026 and compensation and employee benefit costs, primarily driven by higher incentive compensation costs in our aviation and marine segments, as well as costs associated with the Universal TSS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jc w:val="both"/>
        <w:spacing w:after="0" w:line="255" w:lineRule="auto"/>
        <w:rPr>
          <w:sz w:val="20"/>
          <w:szCs w:val="20"/>
          <w:color w:val="auto"/>
        </w:rPr>
      </w:pPr>
      <w:r>
        <w:rPr>
          <w:rFonts w:ascii="Arial" w:cs="Arial" w:eastAsia="Arial" w:hAnsi="Arial"/>
          <w:sz w:val="18"/>
          <w:szCs w:val="18"/>
          <w:color w:val="auto"/>
        </w:rPr>
        <w:t>business acquired in the fourth quarter of 2025. The increase in current expected credit losses during the nine months ended September 30, 2026 was a result of the deteriorating financial condition of certain aviation and marine segment customers, including a marine segment customer which filed for creditor protection during the second quarter of 2026 and is currently operating under court supervision, as well as an allowance recognized with respect to notes receivable from an equity method investee reported as corporate and other, resulting from our decision to discontinue ongoing financial support.</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Non-Operating Income (Expense), net. </w:t>
      </w:r>
      <w:r>
        <w:rPr>
          <w:rFonts w:ascii="Arial" w:cs="Arial" w:eastAsia="Arial" w:hAnsi="Arial"/>
          <w:sz w:val="18"/>
          <w:szCs w:val="18"/>
          <w:color w:val="auto"/>
        </w:rPr>
        <w:t>For the nine months ended September 30, 2026, we had net non-operating expense of $77.6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net non-operating expense of $ 149.2 million for the nine months ended September 30, 2025. The decrease of $71.5 million during the nine months ended September 30, 2026 was primarily attributable to the $81.7 million loss on the sale of Watson Fuels during the nine months ended September 30, 2025, partially offset by increased foreign currency losses and higher interest expense during the nine months ended September 30, 2026 compared to the nine months ended September 30, 2025.</w:t>
      </w:r>
    </w:p>
    <w:p>
      <w:pPr>
        <w:spacing w:after="0" w:line="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For the nine months ended September 30, 2026, we recognized income tax expense of $41.6 million, compared to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of $105.8 million for the nine months ended September 30, 2025. The increase of $147.4 million was primarily attributable to tax benefits on asset impairments recognized during the nine months ended September 30, 2025, higher income before income taxes, and a net discrete tax expense of $1.4 million as compared to a net discrete tax benefit of $12.8 million for the nine months ended September 30, 2025. These increases were partially offset by changes in the mix of our worldwide earnings. See Note 11. Income Taxes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Aviation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aviation segment results of operations for the periods indicated (in millions, except price per gallon):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478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4"/>
        </w:trPr>
        <w:tc>
          <w:tcPr>
            <w:tcW w:w="4580" w:type="dxa"/>
            <w:vAlign w:val="bottom"/>
            <w:tcBorders>
              <w:bottom w:val="single" w:sz="8" w:color="CCEEFF"/>
            </w:tcBorders>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86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72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20,652.3</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14,247.4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6,404.9</w:t>
            </w:r>
          </w:p>
        </w:tc>
      </w:tr>
      <w:tr>
        <w:trPr>
          <w:trHeight w:val="93"/>
        </w:trPr>
        <w:tc>
          <w:tcPr>
            <w:tcW w:w="45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r>
      <w:tr>
        <w:trPr>
          <w:trHeight w:val="24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1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r>
      <w:tr>
        <w:trPr>
          <w:trHeight w:val="25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00" w:type="dxa"/>
            <w:vAlign w:val="bottom"/>
            <w:tcBorders>
              <w:bottom w:val="single" w:sz="8" w:color="auto"/>
            </w:tcBorders>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5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0"/>
        </w:trPr>
        <w:tc>
          <w:tcPr>
            <w:tcW w:w="4580" w:type="dxa"/>
            <w:vAlign w:val="bottom"/>
          </w:tcPr>
          <w:p>
            <w:pPr>
              <w:ind w:left="20"/>
              <w:spacing w:after="0"/>
              <w:rPr>
                <w:sz w:val="20"/>
                <w:szCs w:val="20"/>
                <w:color w:val="auto"/>
              </w:rPr>
            </w:pPr>
            <w:r>
              <w:rPr>
                <w:rFonts w:ascii="Arial" w:cs="Arial" w:eastAsia="Arial" w:hAnsi="Arial"/>
                <w:sz w:val="18"/>
                <w:szCs w:val="18"/>
                <w:color w:val="auto"/>
              </w:rPr>
              <w:t>Aviation segment volumes (gallons)</w:t>
            </w:r>
          </w:p>
        </w:tc>
        <w:tc>
          <w:tcPr>
            <w:tcW w:w="1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5,233.1</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5,385.3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(152.2)</w:t>
            </w: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Aviation segment average price per gallon</w:t>
            </w:r>
          </w:p>
        </w:tc>
        <w:tc>
          <w:tcPr>
            <w:tcW w:w="1400" w:type="dxa"/>
            <w:vAlign w:val="bottom"/>
            <w:shd w:val="clear" w:color="auto" w:fill="CCEEFF"/>
          </w:tcPr>
          <w:p>
            <w:pPr>
              <w:jc w:val="right"/>
              <w:ind w:right="119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in our aviation segment were $20.7 billion for the nine months ended September 30, 2026, an increase of $ 6.4 billion, or 45%, compared to the nine months ended September 30, 2025. The increase in revenue was driven by higher average prices, partially offset by a decrease in volume. Average jet fuel price per gallon sold increased by 52%. Total aviation volumes decreased by 152.2 million gallons, or 3%, to 5.2 billion gallons.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aviation segment gross profit for the nine months ended September 30, 2026 was $494.2 million, an increase of $97.8 million, or 25%, compared to the nine months ended September 30, 2025. The increase in gross profit was primarily attributable to the contribution from Universal TSS acquired in the fourth quarter of 2025 and a higher contribution from increased government activity in the core resale business, as well as stronger physical inventory-related profitability in our core commercial business, driven by elevated jet fuel price volatility during the nine months ended September 30, 2026.</w:t>
      </w:r>
    </w:p>
    <w:p>
      <w:pPr>
        <w:spacing w:after="0" w:line="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from operations in our aviation segment for the nine months ended September 30, 2026 was $240.0 million, an increase of $35.1 million, or 17%, compared to the nine months ended September 30, 2025, driven by the increase in gross profit discussed above, partially offset by an increase in operating expenses. The increase in operating expenses was primarily attributable to increased costs associated with the Universal TSS acquisition during the fourth quarter of 2025, as well as higher incentive compensation costs and a higher allowance for credit losses as a result of increased accounts receivable exposure driven by elevated jet fuel prices during the nine months ended September 30, 2026. These increased costs were partially offset by gains on the sale of assets associated with business exits during the nine months ended September 30, 2026.</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Land Segment Results of Operations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 summary of our land segment results of operations for the periods indicated (in millions, except price per gallon):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0" w:type="dxa"/>
            <w:vAlign w:val="bottom"/>
          </w:tcPr>
          <w:p>
            <w:pPr>
              <w:spacing w:after="0"/>
              <w:rPr>
                <w:sz w:val="20"/>
                <w:szCs w:val="20"/>
                <w:color w:val="auto"/>
              </w:rPr>
            </w:pPr>
          </w:p>
        </w:tc>
        <w:tc>
          <w:tcPr>
            <w:tcW w:w="478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2026</w:t>
            </w:r>
          </w:p>
        </w:tc>
        <w:tc>
          <w:tcPr>
            <w:tcW w:w="8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8,299.5</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r>
      <w:tr>
        <w:trPr>
          <w:trHeight w:val="93"/>
        </w:trPr>
        <w:tc>
          <w:tcPr>
            <w:tcW w:w="4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(439.2)</w:t>
            </w:r>
          </w:p>
        </w:tc>
      </w:tr>
      <w:tr>
        <w:trPr>
          <w:trHeight w:val="25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0"/>
        </w:trPr>
        <w:tc>
          <w:tcPr>
            <w:tcW w:w="4600" w:type="dxa"/>
            <w:vAlign w:val="bottom"/>
          </w:tcPr>
          <w:p>
            <w:pPr>
              <w:ind w:left="20"/>
              <w:spacing w:after="0" w:line="240" w:lineRule="exact"/>
              <w:rPr>
                <w:sz w:val="20"/>
                <w:szCs w:val="20"/>
                <w:color w:val="auto"/>
              </w:rPr>
            </w:pPr>
            <w:r>
              <w:rPr>
                <w:rFonts w:ascii="Arial" w:cs="Arial" w:eastAsia="Arial" w:hAnsi="Arial"/>
                <w:sz w:val="18"/>
                <w:szCs w:val="18"/>
                <w:color w:val="auto"/>
              </w:rPr>
              <w:t xml:space="preserve">Land segment volumes (gallons) </w:t>
            </w:r>
            <w:r>
              <w:rPr>
                <w:rFonts w:ascii="Arial" w:cs="Arial" w:eastAsia="Arial" w:hAnsi="Arial"/>
                <w:sz w:val="23"/>
                <w:szCs w:val="23"/>
                <w:color w:val="auto"/>
                <w:vertAlign w:val="superscript"/>
              </w:rPr>
              <w:t>(1)</w:t>
            </w: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3,789.7</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4,220.0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(430.3)</w:t>
            </w: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segment average price per gallon</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r>
    </w:tbl>
    <w:p>
      <w:pPr>
        <w:spacing w:after="0" w:line="183" w:lineRule="exact"/>
        <w:rPr>
          <w:sz w:val="20"/>
          <w:szCs w:val="20"/>
          <w:color w:val="auto"/>
        </w:rPr>
      </w:pPr>
    </w:p>
    <w:p>
      <w:pPr>
        <w:ind w:left="320" w:hanging="313"/>
        <w:spacing w:after="0" w:line="227" w:lineRule="auto"/>
        <w:tabs>
          <w:tab w:leader="none" w:pos="31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Includes gallons and gallon equivalents of British Thermal Units (BTU) for our natural gas sales and Kilowatt Hours (kWh) for our power business.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in our land segment were $8.3 billion for the nine months ended September 30, 2026, an increase of $ 0.5 billion, or 6%, compared to the nine months ended September 30, 2025. The increase in revenue was driven by higher average fuel prices, partially offset by a decrease in volumes. Average fuel prices increased by 18%. Total volumes decreased by 430.3 million, or 10%, to 3.8 billion gallons or gallon equivalents, primarily attributable to decreased volumes in our European power business, which is considered non-core and in the process of being exited, the sale of our Land Fuel Transportation and Lubricants business in the second quarter of 2026, and the sale of Watson Fuels.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land segment gross profit for the nine months ended September 30, 2026 was $225.4 million, a decrease of $2.4 million, or 1%, compared to the nine months ended September 30, 2025. The decrease in gross profit was principally due to the impact of our exit of certain business activities and unfavorable market conditions in our natural gas business, primarily during the first quarter of 2026, partially offset by higher contributions from our cardlock network and retail operations in North America as well as an increased contribution from our government business.</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 our land segment for the nine months ended September 30, 2026 was $36.3 million compared to a loss from operations of $400.4 million for the nine months ended September 30, 2025, driven by a decrease in operating expenses, partially offset by the decrease in gross profit discussed above. The decrease in operating expenses was primarily attributable to lower asset impairment charges compared to the nine months ended September 30, 2025, as well as the impact of the Watson Fuels sale and the cost reduction impact of the business exits initiated in the fourth quarter of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Marine Segment Results of Operations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provides a summary of our marine segment results of operations for the periods indicated (in millions, except price per metric ton):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00" w:type="dxa"/>
            <w:vAlign w:val="bottom"/>
          </w:tcPr>
          <w:p>
            <w:pPr>
              <w:spacing w:after="0"/>
              <w:rPr>
                <w:sz w:val="20"/>
                <w:szCs w:val="20"/>
                <w:color w:val="auto"/>
              </w:rPr>
            </w:pPr>
          </w:p>
        </w:tc>
        <w:tc>
          <w:tcPr>
            <w:tcW w:w="478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Nine Months Ended September 30,</w:t>
            </w: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4"/>
        </w:trPr>
        <w:tc>
          <w:tcPr>
            <w:tcW w:w="4600" w:type="dxa"/>
            <w:vAlign w:val="bottom"/>
            <w:tcBorders>
              <w:bottom w:val="single" w:sz="8" w:color="CCEEFF"/>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2026</w:t>
            </w:r>
          </w:p>
        </w:tc>
        <w:tc>
          <w:tcPr>
            <w:tcW w:w="8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74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rPr>
              <w:t>Change</w:t>
            </w:r>
          </w:p>
        </w:tc>
      </w:tr>
      <w:tr>
        <w:trPr>
          <w:trHeight w:val="23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7,595.1</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1,780.8</w:t>
            </w:r>
          </w:p>
        </w:tc>
      </w:tr>
      <w:tr>
        <w:trPr>
          <w:trHeight w:val="93"/>
        </w:trPr>
        <w:tc>
          <w:tcPr>
            <w:tcW w:w="46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4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5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460" w:type="dxa"/>
            <w:vAlign w:val="bottom"/>
            <w:tcBorders>
              <w:bottom w:val="single" w:sz="8" w:color="auto"/>
            </w:tcBorders>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4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Operational metrics:</w:t>
            </w:r>
          </w:p>
        </w:tc>
        <w:tc>
          <w:tcPr>
            <w:tcW w:w="14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0"/>
        </w:trPr>
        <w:tc>
          <w:tcPr>
            <w:tcW w:w="4600" w:type="dxa"/>
            <w:vAlign w:val="bottom"/>
          </w:tcPr>
          <w:p>
            <w:pPr>
              <w:ind w:left="20"/>
              <w:spacing w:after="0"/>
              <w:rPr>
                <w:sz w:val="20"/>
                <w:szCs w:val="20"/>
                <w:color w:val="auto"/>
              </w:rPr>
            </w:pPr>
            <w:r>
              <w:rPr>
                <w:rFonts w:ascii="Arial" w:cs="Arial" w:eastAsia="Arial" w:hAnsi="Arial"/>
                <w:sz w:val="18"/>
                <w:szCs w:val="18"/>
                <w:color w:val="auto"/>
              </w:rPr>
              <w:t>Marine segment volumes (metric tons)</w:t>
            </w:r>
          </w:p>
        </w:tc>
        <w:tc>
          <w:tcPr>
            <w:tcW w:w="1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Marine segment average price per metric ton</w:t>
            </w:r>
          </w:p>
        </w:tc>
        <w:tc>
          <w:tcPr>
            <w:tcW w:w="1460" w:type="dxa"/>
            <w:vAlign w:val="bottom"/>
            <w:shd w:val="clear" w:color="auto" w:fill="CCEEFF"/>
          </w:tcPr>
          <w:p>
            <w:pPr>
              <w:jc w:val="right"/>
              <w:ind w:right="1251"/>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686.75</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187.47</w:t>
            </w:r>
          </w:p>
        </w:tc>
      </w:tr>
      <w:tr>
        <w:trPr>
          <w:trHeight w:val="843"/>
        </w:trPr>
        <w:tc>
          <w:tcPr>
            <w:tcW w:w="4600" w:type="dxa"/>
            <w:vAlign w:val="bottom"/>
          </w:tcPr>
          <w:p>
            <w:pPr>
              <w:spacing w:after="0"/>
              <w:rPr>
                <w:sz w:val="24"/>
                <w:szCs w:val="24"/>
                <w:color w:val="auto"/>
              </w:rPr>
            </w:pPr>
          </w:p>
        </w:tc>
        <w:tc>
          <w:tcPr>
            <w:tcW w:w="1460" w:type="dxa"/>
            <w:vAlign w:val="bottom"/>
          </w:tcPr>
          <w:p>
            <w:pPr>
              <w:jc w:val="right"/>
              <w:ind w:right="251"/>
              <w:spacing w:after="0"/>
              <w:rPr>
                <w:sz w:val="20"/>
                <w:szCs w:val="20"/>
                <w:color w:val="auto"/>
              </w:rPr>
            </w:pPr>
            <w:r>
              <w:rPr>
                <w:rFonts w:ascii="Arial" w:cs="Arial" w:eastAsia="Arial" w:hAnsi="Arial"/>
                <w:sz w:val="18"/>
                <w:szCs w:val="18"/>
                <w:color w:val="auto"/>
              </w:rPr>
              <w:t>37</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8"/>
        </w:trPr>
        <w:tc>
          <w:tcPr>
            <w:tcW w:w="46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18"/>
          <w:szCs w:val="18"/>
          <w:color w:val="auto"/>
        </w:rPr>
        <w:t>Revenues in our marine segment were $7.6 billion for the nine months ended September 30, 2026, an increase of $1.8 billion, or 31%, compared to the nine months ended September 30, 2025. The increase in revenue was primarily driven by higher average prices, partially offset by a decrease in volume. The average price per metric ton of bunker fuel sold increased by 38%. Total volumes decreased by 0.6 million metric tons, or 5%, to 11.1 million, due to reduced demand driven by the conflict in the Middle East.</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marine segment gross profit for the nine months ended September 30, 2026 was $204.8 million, an increase of $116.6 million, or 132%, compared to the nine months ended September 30, 2025 primarily driven by a higher profit contribution from our core resale business and certain physical locations, which benefited from increased bunker fuel prices and elevated market volatility.</w:t>
      </w:r>
    </w:p>
    <w:p>
      <w:pPr>
        <w:spacing w:after="0" w:line="6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from operations in our marine segment for the nine months ended September 30, 2026 was $92.0 million compared to a loss from operations of $6.1 million for the nine months ended September 30, 2025, attributable to the increase in gross profit discussed above, partially offset by an increase in operating expenses due to credit losses incurred during the nine months ended September 30, 2026, primarily driven by the deteriorating financial condition of a customer which filed for creditor protection during the second quarter of 2026 and is currently operating under court supervision, as well as higher incentive compensation costs. These increases were partially offset by lower asset impairment charges during the nine months ended September 30, 2026 as a result of the Falmouth impairment recognized during the nine months ended September 30, 2025.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Liquidity to fund working capital, as well as make strategic investments, is a significant priority for us. Our views concerning liquidity are based on currently available information and if circumstances change significantly, the future availability of trade credit or other sources of financing may be reduced, and our liquidity would be adversely affected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Sources of Liquidity and Factors Impacting Our Liquidity</w:t>
      </w:r>
    </w:p>
    <w:p>
      <w:pPr>
        <w:spacing w:after="0" w:line="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liquidity, consisting principally of cash and availability under our Credit Facility, as described below, fluctuates based on a number of factors, including the timing of receipts from our customers and payments to our suppliers, changes in fuel prices, as well as our financial performance.</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the information currently available, we believe that our cash and cash equivalents as of September 30, 2026 and available funds from our Credit Facility, together with cash flows generated by operations, are sufficient to fund our working capital and capital expenditure requirements for at least the next twelve months after the financial statements are issued and the foreseeable future thereafter.</w:t>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Convertible Notes. </w:t>
      </w:r>
      <w:r>
        <w:rPr>
          <w:rFonts w:ascii="Arial" w:cs="Arial" w:eastAsia="Arial" w:hAnsi="Arial"/>
          <w:sz w:val="18"/>
          <w:szCs w:val="18"/>
          <w:color w:val="auto"/>
        </w:rPr>
        <w:t>As of September 30, 2026, we have outstanding $350.0 million aggregate principal amount of Convertible Notes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mature on July 1, 2028, unless earlier converted, redeemed or repurchased. The Convertible Notes are senior, unsecured obligations that bear interest at a rate of 3.250% per year, payable semiannually in arrears on January 1 and July 1 of each year. Upon conversion, the Convertible Notes will be settled in cash up to the aggregate principal amount of the Convertible Notes to be converted, and in cash, shares of common stock or any combination thereof, at our option, in respect of the remainder, if any, of our conversion obligation in excess of the aggregate principal amount. See Note 7. Debt, Interest Income, Expense, and Other Financing Costs for additional information.</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Credit Agreement. </w:t>
      </w:r>
      <w:r>
        <w:rPr>
          <w:rFonts w:ascii="Arial" w:cs="Arial" w:eastAsia="Arial" w:hAnsi="Arial"/>
          <w:sz w:val="18"/>
          <w:szCs w:val="18"/>
          <w:color w:val="auto"/>
        </w:rPr>
        <w:t>The Credit Agreement matures in November 2030 and provides for a term loan as well as the Credit Facility of up to $1.65</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Our availability under the Credit Facility is limited by, among other things, our consolidated total leverage ratio, which is defined in the Credit Agreement and is based, in part, on our consolidated earnings before interest, taxes, depreciation and amortization, and share-based compensation, with such adjustments as specified therein, for the four immediately preceding fiscal quarters. The Credit Agreement generally limits the total amount of indebtedness we may incur to a consolidated total leverage ratio of not more than 4.75 to 1.</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the foregoing, as well as other covenants and restrictions contained in our Credit Agreement, our availability under the Credit Facility may fluctuate from period to period. In addition, our failure to comply with the covenants contained in our Credit Agreement could result in an event of default. An event of default, if not cured or waived, would permit acceleration of any outstanding indebtedness under the Credit Facility and our term loan, trigger cross-defaults under certain other agreements to which we are a party, and impair our ability to obtain working capital advances and issue letters of credit, which would have a material adverse effect on our business, financial condition, results of operations and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See Note 7. Debt, Interest Income, Expense, and Other Financing Costs for additional information.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0" w:name="page41"/>
    <w:bookmarkEnd w:id="40"/>
    <w:p>
      <w:pPr>
        <w:jc w:val="both"/>
        <w:spacing w:after="0" w:line="252" w:lineRule="auto"/>
        <w:rPr>
          <w:sz w:val="20"/>
          <w:szCs w:val="20"/>
          <w:color w:val="auto"/>
        </w:rPr>
      </w:pPr>
      <w:r>
        <w:rPr>
          <w:rFonts w:ascii="Arial" w:cs="Arial" w:eastAsia="Arial" w:hAnsi="Arial"/>
          <w:sz w:val="18"/>
          <w:szCs w:val="18"/>
          <w:i w:val="1"/>
          <w:iCs w:val="1"/>
          <w:color w:val="auto"/>
        </w:rPr>
        <w:t xml:space="preserve">Receivables Purchase Agreements. </w:t>
      </w:r>
      <w:r>
        <w:rPr>
          <w:rFonts w:ascii="Arial" w:cs="Arial" w:eastAsia="Arial" w:hAnsi="Arial"/>
          <w:sz w:val="18"/>
          <w:szCs w:val="18"/>
          <w:color w:val="auto"/>
        </w:rPr>
        <w:t>We also have accounts receivable programs under RPAs that allow us to sell a specified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accounts receivable and receive cash consideration equal to the total balance, less an associated fee, which varies based on the outstanding accounts receivable at any given time. The RPAs provide the constituent banks with the ability to add or remove customers from these programs in their discretion based on, among other things, the level of risk exposure the bank is willing to accept with respect to any particular customer. The fees the banks charge us to purchase the receivables from these customers can also be impacted for these reasons. During the second quarter of 2026, we amended one of our RPAs to increase the facility size. See Note 3. Accounts Receivable for additional information.</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Supplier Financing Programs. </w:t>
      </w:r>
      <w:r>
        <w:rPr>
          <w:rFonts w:ascii="Arial" w:cs="Arial" w:eastAsia="Arial" w:hAnsi="Arial"/>
          <w:sz w:val="18"/>
          <w:szCs w:val="18"/>
          <w:color w:val="auto"/>
        </w:rPr>
        <w:t>Under various supplier finance programs, we agree to pay counterparties engaged as paying agents the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confirmed invoices from our designated suppliers on the original maturity date of the invoices. Under certain of these arrangements, we may also pay fees for the supplier finance platform and related support. See Note 6. Supplier Financing Programs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Uses of Liquidity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Cash is primarily used to fund working capital to support our operations as well as for strategic acquisitions and investments. There were no material changes in our expected future uses of liquidity from December 31, 2025 to September 30, 2026. For a discussion of these matters, refer to "Liquidity and Capital Resources" under Part II, Item 7 – Management's Discussion and Analysis of Financial Condition and Results of Operations of our 2025 10-K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w:t>
      </w:r>
    </w:p>
    <w:p>
      <w:pPr>
        <w:spacing w:after="0" w:line="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2026 and 2025 (in millions). For additional details, please see the unaudited Condensed Consolidated Statements of Cash Flows within this 10-Q Report.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80" w:type="dxa"/>
            <w:vAlign w:val="bottom"/>
          </w:tcPr>
          <w:p>
            <w:pPr>
              <w:spacing w:after="0"/>
              <w:rPr>
                <w:sz w:val="20"/>
                <w:szCs w:val="20"/>
                <w:color w:val="auto"/>
              </w:rPr>
            </w:pPr>
          </w:p>
        </w:tc>
        <w:tc>
          <w:tcPr>
            <w:tcW w:w="4660" w:type="dxa"/>
            <w:vAlign w:val="bottom"/>
            <w:tcBorders>
              <w:bottom w:val="single" w:sz="8" w:color="auto"/>
            </w:tcBorders>
            <w:gridSpan w:val="5"/>
          </w:tcPr>
          <w:p>
            <w:pPr>
              <w:jc w:val="right"/>
              <w:ind w:right="451"/>
              <w:spacing w:after="0"/>
              <w:rPr>
                <w:sz w:val="20"/>
                <w:szCs w:val="20"/>
                <w:color w:val="auto"/>
              </w:rPr>
            </w:pPr>
            <w:r>
              <w:rPr>
                <w:rFonts w:ascii="Arial" w:cs="Arial" w:eastAsia="Arial" w:hAnsi="Arial"/>
                <w:sz w:val="18"/>
                <w:szCs w:val="18"/>
                <w:b w:val="1"/>
                <w:bCs w:val="1"/>
                <w:color w:val="auto"/>
              </w:rPr>
              <w:t>For the Nine Months Ended September 30,</w:t>
            </w:r>
          </w:p>
        </w:tc>
      </w:tr>
      <w:tr>
        <w:trPr>
          <w:trHeight w:val="234"/>
        </w:trPr>
        <w:tc>
          <w:tcPr>
            <w:tcW w:w="65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2026</w:t>
            </w:r>
          </w:p>
        </w:tc>
        <w:tc>
          <w:tcPr>
            <w:tcW w:w="7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51"/>
              <w:spacing w:after="0"/>
              <w:rPr>
                <w:sz w:val="20"/>
                <w:szCs w:val="20"/>
                <w:color w:val="auto"/>
              </w:rPr>
            </w:pPr>
            <w:r>
              <w:rPr>
                <w:rFonts w:ascii="Arial" w:cs="Arial" w:eastAsia="Arial" w:hAnsi="Arial"/>
                <w:sz w:val="18"/>
                <w:szCs w:val="18"/>
                <w:b w:val="1"/>
                <w:bCs w:val="1"/>
                <w:color w:val="auto"/>
              </w:rPr>
              <w:t>2025</w:t>
            </w:r>
          </w:p>
        </w:tc>
      </w:tr>
      <w:tr>
        <w:trPr>
          <w:trHeight w:val="23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500" w:type="dxa"/>
            <w:vAlign w:val="bottom"/>
            <w:shd w:val="clear" w:color="auto" w:fill="CCEEFF"/>
          </w:tcPr>
          <w:p>
            <w:pPr>
              <w:jc w:val="right"/>
              <w:ind w:right="131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r>
      <w:tr>
        <w:trPr>
          <w:trHeight w:val="240"/>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15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w:t>
            </w:r>
          </w:p>
        </w:tc>
      </w:tr>
    </w:tbl>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For the nine months ended September 30, 2026, net cash provided by operating activities was $107.5 million,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$258.7 million net cash provided during the nine months ended September 30, 2025. The $151.2 million decrease in operating cash flows was principally due to an increase in net cash used for accounts payable and accounts receivable, inventory, and in our derivative activities, driven by the increasing price environment during the nine months ended September 30, 2026, partially offset by increased cash provided by our RPA programs and an increase in our net income adjusted for noncash items (see "Results of Operations" for further details of the drivers impacting our net income).</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nine months ended September 30, 2026, net cash provided by investing activities was $47.4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used of $4.8 million during the nine months ended September 30, 2025. The net cash provided by investing activities for the nine months ended September 30, 2026 was primarily driven by proceeds received from the sale of our Land Fuel Transportation and Lubricants and other businesses of $93.2 million, partially offset by capital expenditures of $38.4 million. Net cash used in investing activities for the nine months ended September 30, 2025 was primarily driven by capital expenditures of $44.2 million and asset acquisitions of $13.3 million, partially offset by $23.4 million net proceeds from the Watson Fuels sale and $27.1 million of cash received from the net repayment of notes receivable.</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nine months ended September 30, 2026, net cash used in financing activities was $127.2 million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cash used of $163.7 million for the nine months ended September 30, 2025. The net cash used in financing activities for the nine months ended September 30, 2026 was principally attributable to repurchases of common stock of $89.3 million, dividend payments of $32.6 million, and net repayments of debt of $ 8.2 million. Net cash used in financing activities for the nine months ended September 30, 2025 was principally attributable to net repayments of debt of $80.7 million driven by the repayment of secured borrowings associated with the transfer of transaction taxes as well as net repayments under our Credit Facility, repurchases of common stock of $45.0 million, and dividend payments of $30.3 million.</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Condensed Consolidated Financial Statements are prepared in accordance with U.S. GAAP. The significant accounting policies used are disclosed in Item 15 – Financial Statement Schedules, Note 1. Basis of Presentation, New Accounting Standards, and Significant Accounting Policies to the Consolidated Financial Statements in our 2025 10-K Report.</w:t>
      </w:r>
    </w:p>
    <w:p>
      <w:pPr>
        <w:spacing w:after="0" w:line="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make estimates and assumptions that affect the reported amounts on our unaudited Condensed Consolidated Financial Statements and accompanying Notes as of the date of the unaudited Condensed Consolidated Financial Statements. There have been no material changes to the Critical Accounting Estimates disclosed in our 2025 10-K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been no material changes to our exposures to commodity price, interest rate, or foreign currency risk since December 31, 2025. Please refer to Part II, Item 7A - Quantitative and Qualitative Disclosures About Market Risk of our 2025 10-K Report for a complete discussion of our exposure to these risks.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about our derivative instruments at their respective fair value positions as of September 30, 2026, see Note 4. Derivative Instruments.</w:t>
      </w:r>
    </w:p>
    <w:p>
      <w:pPr>
        <w:spacing w:after="0" w:line="16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2026.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2026 that materially affected, or are reasonably likely to materially affect, our internal control over financial reporting.</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2" w:name="page43"/>
    <w:bookmarkEnd w:id="42"/>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inquiries, audits, challenges and litigation in a number of countries, and the amounts under controversy may be material. See Notes 8. Commitments and Contingencies and 11. Income Taxes within this 10-Q Report as well as Notes</w:t>
      </w:r>
    </w:p>
    <w:p>
      <w:pPr>
        <w:spacing w:after="0" w:line="2" w:lineRule="exact"/>
        <w:rPr>
          <w:sz w:val="20"/>
          <w:szCs w:val="20"/>
          <w:color w:val="auto"/>
        </w:rPr>
      </w:pPr>
    </w:p>
    <w:p>
      <w:pPr>
        <w:ind w:firstLine="7"/>
        <w:spacing w:after="0" w:line="259" w:lineRule="auto"/>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Commitments and Contingencies and 14. Income Taxes within Part IV. Item 15 – Notes to the Consolidated Financial Statements in our 2025 10-K Report for additional details regarding certain tax matters.</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Item 103 of Regulation S-K promulgated by the SEC requires disclosure of certain environmental matters when a governmental authority is a party to the proceedings and such proceedings involve potential monetary sanctions, unless we reasonably believe that the matter will result in no monetary sanctions, or in monetary sanctions, exclusive of interest and costs, of less than a specified threshold. We have elected to use a threshold of $1 million for purposes of determining whether the disclosure of any such environmental proceeding is required.</w:t>
      </w:r>
    </w:p>
    <w:p>
      <w:pPr>
        <w:spacing w:after="0" w:line="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not currently a party to any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Condensed Consolidated Financial Statements or disclosures for that period. See Note 8. Commitments and Contingencies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Factors that could cause our actual results to differ materially from those in this report include the risk factors previously disclosed under Part I, Item 1A – Risk Factors of our 2025 10-K Report, as supplemented by the risk factors described in our Quarterly Report on Form 10-Q for the quarter ended March 31, 2026, filed with the SEC on April 24, 2026.</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Quarterly Report on Form 10-Q, there have been no material changes to the risk factors disclosed in our 2025 10-K Report and as supplemented by the risk factors described in our Quarterly Report on Form 10-Q for the quarter ended March 31, 2026.</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September 9, 2024 and December 4, 2025, we announced that our Board of Directors approved stock repurchase programs authorizing common stock repurchases of $200.0 million and $ 150.0 million, respectively. These repurchase authorizations do not require a minimum number of shares of common stock to be purchased, have no expiration date, and repurchases may be initiated, suspended or discontinued at any time. As of September 30, 2026, approximately $212.7 million remained available under our repurchase authorizations. The timing and amount of our repurchases will depend on market conditions, share price, securities law and other legal requirements and factors. We did not repurchase any shares during the third quarter of 2026.</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September 30, 2026, none of our officers (as defined in Rule 16a-1(f) of the Exchange Act) or directors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165" w:lineRule="exact"/>
        <w:rPr>
          <w:sz w:val="20"/>
          <w:szCs w:val="20"/>
          <w:color w:val="auto"/>
        </w:rPr>
      </w:pPr>
    </w:p>
    <w:p>
      <w:pPr>
        <w:ind w:left="180"/>
        <w:spacing w:after="0"/>
        <w:tabs>
          <w:tab w:leader="none" w:pos="14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342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9"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7"/>
          <w:szCs w:val="17"/>
          <w:color w:val="auto"/>
        </w:rPr>
        <w:t>Certification of the Chief Executive Officer pursuant to Rule 13a-14(a) or Rule 15d — 14(a)</w:t>
      </w:r>
    </w:p>
    <w:p>
      <w:pPr>
        <w:spacing w:after="0" w:line="127"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7"/>
          <w:szCs w:val="17"/>
          <w:color w:val="auto"/>
        </w:rPr>
        <w:t>Certification of the Chief Financial Officer pursuant to Rule 13a-14(a) or Rule 15d — 14(a)</w:t>
      </w:r>
    </w:p>
    <w:p>
      <w:pPr>
        <w:spacing w:after="0" w:line="127" w:lineRule="exact"/>
        <w:rPr>
          <w:sz w:val="20"/>
          <w:szCs w:val="20"/>
          <w:color w:val="auto"/>
        </w:rPr>
      </w:pPr>
    </w:p>
    <w:p>
      <w:pPr>
        <w:ind w:left="1440" w:hanging="964"/>
        <w:spacing w:after="0" w:line="235" w:lineRule="auto"/>
        <w:tabs>
          <w:tab w:leader="none" w:pos="142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of Chief Executive Officer and Chief Financial Officer under Section 906 of the Sarbanes-Oxley Act of 2002 (furnished herewith)</w:t>
      </w:r>
    </w:p>
    <w:p>
      <w:pPr>
        <w:spacing w:after="0" w:line="115" w:lineRule="exact"/>
        <w:rPr>
          <w:sz w:val="20"/>
          <w:szCs w:val="20"/>
          <w:color w:val="auto"/>
        </w:rPr>
      </w:pPr>
    </w:p>
    <w:p>
      <w:pPr>
        <w:jc w:val="both"/>
        <w:ind w:left="1440" w:hanging="941"/>
        <w:spacing w:after="0" w:line="218" w:lineRule="auto"/>
        <w:tabs>
          <w:tab w:leader="none" w:pos="1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materials from World Kinect Corporation's Quarterly Report on Form 10-Q for the quarter ended September 30, 2026, formatted in XBRL (Extensible Business Reporting Language); (i) Condensed Consolidated Balance Sheets, (ii) Condensed Consolidated Statements of Income and Comprehensive Income, (iii) Condensed Consolidated Statements of Shareholders’ Equity, (iv) Condensed Consolidated Statements of Cash Flows, and (v) Notes to the Condensed Consolidated Financial Statements.</w:t>
      </w:r>
    </w:p>
    <w:p>
      <w:pPr>
        <w:spacing w:after="0" w:line="114" w:lineRule="exact"/>
        <w:rPr>
          <w:sz w:val="20"/>
          <w:szCs w:val="20"/>
          <w:color w:val="auto"/>
        </w:rPr>
      </w:pPr>
    </w:p>
    <w:p>
      <w:pPr>
        <w:ind w:left="1440" w:hanging="941"/>
        <w:spacing w:after="0"/>
        <w:tabs>
          <w:tab w:leader="none" w:pos="1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137795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95" w:right="3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8"/>
          <w:szCs w:val="18"/>
          <w:color w:val="auto"/>
        </w:rPr>
        <w:t>Date: October 30, 2026</w:t>
      </w:r>
      <w:r>
        <w:rPr>
          <w:sz w:val="20"/>
          <w:szCs w:val="20"/>
          <w:color w:val="auto"/>
        </w:rPr>
        <w:tab/>
      </w:r>
      <w:r>
        <w:rPr>
          <w:rFonts w:ascii="Arial" w:cs="Arial" w:eastAsia="Arial" w:hAnsi="Arial"/>
          <w:sz w:val="17"/>
          <w:szCs w:val="17"/>
          <w:color w:val="auto"/>
        </w:rPr>
        <w:t>World Kinect Corporation</w:t>
      </w: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Ira M. Birns</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85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Jose-Miguel Tejada</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095"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113" w:lineRule="exact"/>
        <w:rPr>
          <w:sz w:val="20"/>
          <w:szCs w:val="20"/>
          <w:color w:val="auto"/>
        </w:rPr>
      </w:pPr>
    </w:p>
    <w:p>
      <w:pPr>
        <w:ind w:left="640" w:hanging="313"/>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September 30, 2026;</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2026</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 Jose-Miguel Tejada, certify that:</w:t>
      </w:r>
    </w:p>
    <w:p>
      <w:pPr>
        <w:spacing w:after="0" w:line="113" w:lineRule="exact"/>
        <w:rPr>
          <w:sz w:val="20"/>
          <w:szCs w:val="20"/>
          <w:color w:val="auto"/>
        </w:rPr>
      </w:pPr>
    </w:p>
    <w:p>
      <w:pPr>
        <w:ind w:left="640" w:hanging="313"/>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Kinect Corporation for the period ended September 30, 2026;</w:t>
      </w:r>
    </w:p>
    <w:p>
      <w:pPr>
        <w:spacing w:after="0" w:line="113" w:lineRule="exact"/>
        <w:rPr>
          <w:rFonts w:ascii="Arial" w:cs="Arial" w:eastAsia="Arial" w:hAnsi="Arial"/>
          <w:sz w:val="18"/>
          <w:szCs w:val="18"/>
          <w:color w:val="auto"/>
        </w:rPr>
      </w:pPr>
    </w:p>
    <w:p>
      <w:pPr>
        <w:ind w:left="640" w:right="80" w:hanging="313"/>
        <w:spacing w:after="0" w:line="262"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8"/>
          <w:szCs w:val="18"/>
          <w:color w:val="auto"/>
        </w:rPr>
      </w:pPr>
    </w:p>
    <w:p>
      <w:pPr>
        <w:ind w:left="640" w:right="260" w:hanging="313"/>
        <w:spacing w:after="0" w:line="262"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8"/>
          <w:szCs w:val="18"/>
          <w:color w:val="auto"/>
        </w:rPr>
      </w:pPr>
    </w:p>
    <w:p>
      <w:pPr>
        <w:ind w:left="640" w:right="280" w:hanging="313"/>
        <w:spacing w:after="0" w:line="262"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Arial" w:cs="Arial" w:eastAsia="Arial" w:hAnsi="Arial"/>
          <w:sz w:val="18"/>
          <w:szCs w:val="18"/>
          <w:color w:val="auto"/>
        </w:rPr>
      </w:pPr>
    </w:p>
    <w:p>
      <w:pPr>
        <w:ind w:left="1280" w:right="140" w:hanging="313"/>
        <w:spacing w:after="0" w:line="26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Arial" w:cs="Arial" w:eastAsia="Arial" w:hAnsi="Arial"/>
          <w:sz w:val="18"/>
          <w:szCs w:val="18"/>
          <w:color w:val="auto"/>
        </w:rPr>
      </w:pPr>
    </w:p>
    <w:p>
      <w:pPr>
        <w:jc w:val="both"/>
        <w:ind w:left="1280" w:right="80" w:hanging="313"/>
        <w:spacing w:after="0" w:line="262" w:lineRule="auto"/>
        <w:tabs>
          <w:tab w:leader="none" w:pos="12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8"/>
          <w:szCs w:val="18"/>
          <w:color w:val="auto"/>
        </w:rPr>
      </w:pPr>
    </w:p>
    <w:p>
      <w:pPr>
        <w:ind w:left="1280" w:right="200" w:hanging="313"/>
        <w:spacing w:after="0" w:line="26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9" w:lineRule="exact"/>
        <w:rPr>
          <w:rFonts w:ascii="Arial" w:cs="Arial" w:eastAsia="Arial" w:hAnsi="Arial"/>
          <w:sz w:val="18"/>
          <w:szCs w:val="18"/>
          <w:color w:val="auto"/>
        </w:rPr>
      </w:pPr>
    </w:p>
    <w:p>
      <w:pPr>
        <w:ind w:left="640" w:right="480" w:hanging="313"/>
        <w:spacing w:after="0" w:line="262" w:lineRule="auto"/>
        <w:tabs>
          <w:tab w:leader="none" w:pos="6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8"/>
          <w:szCs w:val="18"/>
          <w:color w:val="auto"/>
        </w:rPr>
      </w:pPr>
    </w:p>
    <w:p>
      <w:pPr>
        <w:ind w:left="1280" w:right="60" w:hanging="313"/>
        <w:spacing w:after="0" w:line="26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8"/>
          <w:szCs w:val="18"/>
          <w:color w:val="auto"/>
        </w:rPr>
      </w:pPr>
    </w:p>
    <w:p>
      <w:pPr>
        <w:ind w:left="1280" w:right="900" w:hanging="313"/>
        <w:spacing w:after="0" w:line="277"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October 30, 2026</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14605</wp:posOffset>
            </wp:positionV>
            <wp:extent cx="34397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9795" cy="8255"/>
                    </a:xfrm>
                    <a:prstGeom prst="rect">
                      <a:avLst/>
                    </a:prstGeom>
                    <a:noFill/>
                  </pic:spPr>
                </pic:pic>
              </a:graphicData>
            </a:graphic>
          </wp:anchor>
        </w:drawing>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Jose-Miguel Tejada</w:t>
      </w:r>
    </w:p>
    <w:p>
      <w:pPr>
        <w:spacing w:after="0" w:line="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 1350)</w:t>
      </w:r>
    </w:p>
    <w:p>
      <w:pPr>
        <w:spacing w:after="0" w:line="200" w:lineRule="exact"/>
        <w:rPr>
          <w:sz w:val="20"/>
          <w:szCs w:val="20"/>
          <w:color w:val="auto"/>
        </w:rPr>
      </w:pPr>
    </w:p>
    <w:p>
      <w:pPr>
        <w:spacing w:after="0" w:line="217" w:lineRule="exact"/>
        <w:rPr>
          <w:sz w:val="20"/>
          <w:szCs w:val="20"/>
          <w:color w:val="auto"/>
        </w:rPr>
      </w:pPr>
    </w:p>
    <w:p>
      <w:pPr>
        <w:ind w:right="300" w:firstLine="198"/>
        <w:spacing w:after="0" w:line="262" w:lineRule="auto"/>
        <w:rPr>
          <w:sz w:val="20"/>
          <w:szCs w:val="20"/>
          <w:color w:val="auto"/>
        </w:rPr>
      </w:pPr>
      <w:r>
        <w:rPr>
          <w:rFonts w:ascii="Arial" w:cs="Arial" w:eastAsia="Arial" w:hAnsi="Arial"/>
          <w:sz w:val="18"/>
          <w:szCs w:val="18"/>
          <w:color w:val="auto"/>
        </w:rPr>
        <w:t>We, Ira M. Birns, the Chief Executive Officer of World Kinect Corporation (the "Company"), and Jose-Miguel Tejada, the Executive Vice President and Chief Financial Officer of the Company, certify for the purposes of Section 1350 of Chapter 63 of Title 18 of the United States Code that, to the best of our knowledge,</w:t>
      </w:r>
    </w:p>
    <w:p>
      <w:pPr>
        <w:spacing w:after="0" w:line="69" w:lineRule="exact"/>
        <w:rPr>
          <w:sz w:val="20"/>
          <w:szCs w:val="20"/>
          <w:color w:val="auto"/>
        </w:rPr>
      </w:pPr>
    </w:p>
    <w:p>
      <w:pPr>
        <w:ind w:left="640" w:right="320" w:hanging="313"/>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2026 (the "Report") fully complies with the requirements of Section 13(a) or 15(d), as applicable, of the Securities Exchange Act of 1934; and</w:t>
      </w:r>
    </w:p>
    <w:p>
      <w:pPr>
        <w:spacing w:after="0" w:line="55" w:lineRule="exact"/>
        <w:rPr>
          <w:rFonts w:ascii="Arial" w:cs="Arial" w:eastAsia="Arial" w:hAnsi="Arial"/>
          <w:sz w:val="18"/>
          <w:szCs w:val="18"/>
          <w:color w:val="auto"/>
        </w:rPr>
      </w:pPr>
    </w:p>
    <w:p>
      <w:pPr>
        <w:ind w:left="640" w:right="200" w:hanging="313"/>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30, 2026</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Ira M. Birns</w:t>
      </w:r>
    </w:p>
    <w:p>
      <w:pPr>
        <w:spacing w:after="0" w:line="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16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Jose-Miguel Tejada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14605</wp:posOffset>
            </wp:positionV>
            <wp:extent cx="36601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Jose-Miguel Tejada</w:t>
      </w:r>
    </w:p>
    <w:p>
      <w:pPr>
        <w:spacing w:after="0" w:line="3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32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184785</wp:posOffset>
            </wp:positionV>
            <wp:extent cx="69303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039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
    </w:lvl>
  </w:abstractNum>
  <w:abstractNum w:abstractNumId="19">
    <w:nsid w:val="721DA317"/>
    <w:multiLevelType w:val="hybridMultilevel"/>
    <w:lvl w:ilvl="0">
      <w:lvlJc w:val="left"/>
      <w:lvlText w:val="%1"/>
      <w:numFmt w:val="decimal"/>
      <w:start w:val="10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2026-10-30T15:35:57Z</dcterms:created>
  <dcterms:modified xsi:type="dcterms:W3CDTF">2026-10-30T15:35:57Z</dcterms:modified>
</cp:coreProperties>
</file>