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firstLine="360"/>
        <w:jc w:val="both"/>
        <w:rPr/>
      </w:pPr>
      <w:r>
        <w:rPr/>
      </w:r>
    </w:p>
    <w:p>
      <w:pPr>
        <w:pStyle w:val="TextBody"/>
        <w:bidi w:val="0"/>
        <w:spacing w:lineRule="auto" w:line="26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60"/>
        <w:ind w:left="0" w:right="0" w:firstLine="3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40"/>
        <w:ind w:left="0" w:right="0" w:firstLine="360"/>
        <w:jc w:val="center"/>
        <w:rPr/>
      </w:pPr>
      <w:r>
        <w:rPr>
          <w:rFonts w:ascii="Times New Roman;serif" w:hAnsi="Times New Roman;serif"/>
          <w:b/>
          <w:color w:val="000000"/>
          <w:sz w:val="24"/>
        </w:rPr>
        <w:t>WASHINGTON,  D.C. 20549</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center"/>
        <w:rPr/>
      </w:pPr>
      <w:r>
        <w:rPr>
          <w:color w:val="000000"/>
        </w:rPr>
        <w:t> </w:t>
      </w:r>
      <w:r>
        <w:rPr>
          <w:rFonts w:ascii="Times New Roman;serif" w:hAnsi="Times New Roman;serif"/>
          <w:b/>
          <w:color w:val="000000"/>
          <w:sz w:val="24"/>
        </w:rPr>
        <w:t>CURRENT REPORT</w:t>
      </w:r>
    </w:p>
    <w:p>
      <w:pPr>
        <w:pStyle w:val="TextBody"/>
        <w:bidi w:val="0"/>
        <w:spacing w:lineRule="auto" w:line="288" w:before="120" w:after="120"/>
        <w:ind w:left="0" w:right="0" w:firstLine="360"/>
        <w:jc w:val="center"/>
        <w:rPr/>
      </w:pPr>
      <w:r>
        <w:rPr>
          <w:color w:val="000000"/>
        </w:rPr>
        <w:t> </w:t>
      </w:r>
      <w:r>
        <w:rPr>
          <w:rFonts w:ascii="Times New Roman;serif" w:hAnsi="Times New Roman;serif"/>
          <w:b/>
          <w:color w:val="000000"/>
          <w:sz w:val="24"/>
        </w:rPr>
        <w:t>PURSUANT TO SECTION 13 OR 15(d) OF</w:t>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20" w:after="120"/>
        <w:ind w:left="0" w:right="0" w:firstLine="1260"/>
        <w:jc w:val="center"/>
        <w:rPr/>
      </w:pPr>
      <w:r>
        <w:rPr>
          <w:color w:val="000000"/>
        </w:rPr>
        <w:t>  </w:t>
      </w:r>
      <w:r>
        <w:rPr>
          <w:rFonts w:ascii="Times New Roman;serif" w:hAnsi="Times New Roman;serif"/>
          <w:b/>
          <w:color w:val="000000"/>
          <w:sz w:val="22"/>
        </w:rPr>
        <w:t>Date of Report (Date of earliest event reported): July 23,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44"/>
        </w:rPr>
      </w:pPr>
      <w:r>
        <w:rPr>
          <w:rFonts w:ascii="Times New Roman;serif" w:hAnsi="Times New Roman;serif"/>
          <w:b/>
          <w:color w:val="000000"/>
          <w:sz w:val="44"/>
        </w:rPr>
        <w:t>WORLD KINECT CORPORATION</w:t>
      </w:r>
    </w:p>
    <w:p>
      <w:pPr>
        <w:pStyle w:val="TextBody"/>
        <w:bidi w:val="0"/>
        <w:spacing w:lineRule="auto" w:line="288" w:before="120" w:after="120"/>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9" w:type="dxa"/>
        <w:jc w:val="center"/>
        <w:tblInd w:w="0" w:type="dxa"/>
        <w:tblLayout w:type="fixed"/>
        <w:tblCellMar>
          <w:top w:w="28" w:type="dxa"/>
          <w:left w:w="28" w:type="dxa"/>
          <w:bottom w:w="28" w:type="dxa"/>
          <w:right w:w="28" w:type="dxa"/>
        </w:tblCellMar>
      </w:tblPr>
      <w:tblGrid>
        <w:gridCol w:w="1220"/>
        <w:gridCol w:w="1073"/>
        <w:gridCol w:w="1082"/>
        <w:gridCol w:w="679"/>
        <w:gridCol w:w="679"/>
        <w:gridCol w:w="682"/>
        <w:gridCol w:w="803"/>
        <w:gridCol w:w="803"/>
        <w:gridCol w:w="1138"/>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Florida</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001-09533</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59-2459427</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381" w:type="dxa"/>
        <w:jc w:val="center"/>
        <w:tblInd w:w="0" w:type="dxa"/>
        <w:tblLayout w:type="fixed"/>
        <w:tblCellMar>
          <w:top w:w="28" w:type="dxa"/>
          <w:left w:w="28" w:type="dxa"/>
          <w:bottom w:w="28" w:type="dxa"/>
          <w:right w:w="28" w:type="dxa"/>
        </w:tblCellMar>
      </w:tblPr>
      <w:tblGrid>
        <w:gridCol w:w="863"/>
        <w:gridCol w:w="757"/>
        <w:gridCol w:w="764"/>
        <w:gridCol w:w="274"/>
        <w:gridCol w:w="274"/>
        <w:gridCol w:w="276"/>
        <w:gridCol w:w="285"/>
        <w:gridCol w:w="285"/>
        <w:gridCol w:w="286"/>
        <w:gridCol w:w="109"/>
        <w:gridCol w:w="109"/>
        <w:gridCol w:w="109"/>
        <w:gridCol w:w="290"/>
        <w:gridCol w:w="290"/>
        <w:gridCol w:w="410"/>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9800 N.W. 41st Street,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Miami,</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33178</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20" w:after="120"/>
        <w:ind w:left="0" w:right="0" w:firstLine="126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 xml:space="preserve">(305) 428-8000 </w:t>
      </w:r>
      <w:r>
        <w:rPr>
          <w:color w:val="000000"/>
        </w:rPr>
        <w:t> </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60"/>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4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WKC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before="12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23, 2026, World Kinect Corporation issued a press release reporting its financial results for the second quarter of 2026. A copy of the press release is attached hereto as Exhibit 99.1.</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6030" w:type="dxa"/>
        <w:jc w:val="left"/>
        <w:tblInd w:w="0" w:type="dxa"/>
        <w:tblLayout w:type="fixed"/>
        <w:tblCellMar>
          <w:top w:w="28" w:type="dxa"/>
          <w:left w:w="28" w:type="dxa"/>
          <w:bottom w:w="28" w:type="dxa"/>
          <w:right w:w="28" w:type="dxa"/>
        </w:tblCellMar>
      </w:tblPr>
      <w:tblGrid>
        <w:gridCol w:w="391"/>
        <w:gridCol w:w="344"/>
        <w:gridCol w:w="345"/>
        <w:gridCol w:w="1446"/>
        <w:gridCol w:w="1446"/>
        <w:gridCol w:w="20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8-kexx991earnings.htm">
              <w:r>
                <w:rPr>
                  <w:rStyle w:val="InternetLink"/>
                  <w:rFonts w:ascii="Times New Roman;serif" w:hAnsi="Times New Roman;serif"/>
                  <w:b w:val="false"/>
                  <w:color w:val="0000FF"/>
                  <w:sz w:val="20"/>
                  <w:u w:val="single"/>
                </w:rPr>
                <w:t>99.1</w:t>
              </w:r>
            </w:hyperlink>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23,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120" w:after="12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before="12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76"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00"/>
        <w:gridCol w:w="1300"/>
        <w:gridCol w:w="184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World Kinect Corporation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Jose-Miguel Tejada</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Jose-Miguel Tejada</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4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120" w:after="120"/>
                        <w:ind w:left="0" w:right="0" w:firstLine="360"/>
                        <w:jc w:val="center"/>
                        <w:rPr/>
                      </w:pPr>
                      <w:r>
                        <w:rPr/>
                      </w:r>
                    </w:p>
                  </w:txbxContent>
                </v:textbox>
                <w10:wrap type="none"/>
              </v:rect>
            </w:pict>
          </mc:Fallback>
        </mc:AlternateContent>
      </w:r>
    </w:p>
    <w:p>
      <w:pPr>
        <w:pStyle w:val="TextBody"/>
        <w:bidi w:val="0"/>
        <w:spacing w:before="24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World Kinect Corporation Reports Second Quarter 2026 Results</w:t>
      </w:r>
    </w:p>
    <w:p>
      <w:pPr>
        <w:pStyle w:val="TextBody"/>
        <w:bidi w:val="0"/>
        <w:spacing w:lineRule="auto" w:line="276" w:before="0" w:after="0"/>
        <w:jc w:val="center"/>
        <w:rPr>
          <w:rFonts w:ascii="Times New Roman;serif" w:hAnsi="Times New Roman;serif"/>
          <w:b/>
          <w:i/>
          <w:color w:val="000000"/>
          <w:sz w:val="24"/>
        </w:rPr>
      </w:pPr>
      <w:r>
        <w:rPr>
          <w:rFonts w:ascii="Times New Roman;serif" w:hAnsi="Times New Roman;serif"/>
          <w:b/>
          <w:i/>
          <w:color w:val="000000"/>
          <w:sz w:val="24"/>
        </w:rPr>
        <w:t>Delivers Record Gross Profit and Raises Fiscal Year 2026 Guidance</w:t>
      </w:r>
    </w:p>
    <w:p>
      <w:pPr>
        <w:pStyle w:val="TextBody"/>
        <w:bidi w:val="0"/>
        <w:spacing w:lineRule="auto" w:line="288" w:before="480" w:after="240"/>
        <w:jc w:val="both"/>
        <w:rPr>
          <w:rFonts w:ascii="Times New Roman;serif" w:hAnsi="Times New Roman;serif"/>
          <w:b w:val="false"/>
          <w:color w:val="000000"/>
          <w:sz w:val="22"/>
        </w:rPr>
      </w:pPr>
      <w:r>
        <w:rPr>
          <w:rFonts w:ascii="Times New Roman;serif" w:hAnsi="Times New Roman;serif"/>
          <w:b w:val="false"/>
          <w:color w:val="000000"/>
          <w:sz w:val="22"/>
        </w:rPr>
        <w:t>MIAMI—July 23, 2026—World Kinect Corporation (NYSE: WKC) today reported financial results for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Gross profit of $365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gross profit of $350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net income of $48 million, or $0.94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net income of $66 million, or $1.29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of $136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Repurchased $14 million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Increased regular quarterly cash dividend by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Reportable Segment Year-Over-Year Highlights</w:t>
      </w:r>
    </w:p>
    <w:p>
      <w:pPr>
        <w:pStyle w:val="TextBody"/>
        <w:bidi w:val="0"/>
        <w:spacing w:lineRule="auto" w:line="288" w:before="24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Aviation Segment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2"/>
        </w:rPr>
        <w:t>Second quarter 2026 gross profit was $208 million, the highest quarterly gross profit in the history of the segment, an increase of 51%, primarily attributable to stronger physical inventory-related profitability in our core commercial business driven by elevated jet fuel price volatility, in addition to the contribution from Universal Trip Support Services acquired in the fourth quarter of 2025.</w:t>
      </w:r>
    </w:p>
    <w:p>
      <w:pPr>
        <w:pStyle w:val="TextBody"/>
        <w:bidi w:val="0"/>
        <w:spacing w:lineRule="auto" w:line="288" w:before="24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Land Segment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2"/>
        </w:rPr>
        <w:t>Second quarter 2026 gross profit was $77 million and income from operations was $6 million. Land Adjusted income from operations was $20 million, an increase of $19 million year-over-year, principally reflecting the benefits of our land portfolio transformation.</w:t>
      </w:r>
    </w:p>
    <w:p>
      <w:pPr>
        <w:pStyle w:val="TextBody"/>
        <w:bidi w:val="0"/>
        <w:spacing w:lineRule="auto" w:line="288" w:before="24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Marine Segment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2"/>
        </w:rPr>
        <w:t>Second quarter 2026 gross profit was $80 million, the highest quarterly gross profit in the history of the segment, an increase of 195%, primarily driven by higher profit contribution from our core resale business and certain physical locations, which benefited from increased bunker fuel prices and elevated market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both"/>
        <w:rPr>
          <w:rFonts w:ascii="Times New Roman;serif" w:hAnsi="Times New Roman;serif"/>
          <w:b w:val="false"/>
          <w:color w:val="000000"/>
          <w:sz w:val="22"/>
        </w:rPr>
      </w:pPr>
      <w:r>
        <w:rPr>
          <w:rFonts w:ascii="Times New Roman;serif" w:hAnsi="Times New Roman;serif"/>
          <w:b w:val="false"/>
          <w:color w:val="000000"/>
          <w:sz w:val="22"/>
        </w:rPr>
        <w:t>"We delivered an exceptional quarter, reflecting solid execution by our team and the strength of our business during a period of significant market volatility," said Ira M. Birns, Chief Executive Officer. "Continued volatile market conditions associated with the conflict in the Middle East created meaningful opportunities across our business, once again demonstrating our ability to support customers through periods of disruption while delivering strong financial results."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second quarter results were very strong, driven by favorable market conditions and the benefits of our streamlined portfolio," said Mike Tejada, Executive Vice President and Chief Financial Officer. "This performance, together with our expectations for the balance of the year, enabled us to raise our full-year Adjusted EPS guidance for the second time this year, while returning capital to shareholders through a 15% dividend increase and additional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13055"/>
                <wp:effectExtent l="0" t="0" r="0" b="0"/>
                <wp:wrapNone/>
                <wp:docPr id="4"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2026 Outlook</w:t>
      </w:r>
    </w:p>
    <w:p>
      <w:pPr>
        <w:pStyle w:val="TextBody"/>
        <w:bidi w:val="0"/>
        <w:spacing w:lineRule="auto" w:line="288" w:before="0" w:after="0"/>
        <w:jc w:val="both"/>
        <w:rPr/>
      </w:pPr>
      <w:r>
        <w:rPr>
          <w:rFonts w:ascii="Times New Roman;serif" w:hAnsi="Times New Roman;serif"/>
          <w:b w:val="false"/>
          <w:color w:val="000000"/>
          <w:sz w:val="22"/>
        </w:rPr>
        <w:t>For the full year 2026, the Company is increasing its Adjusted EPS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guidance to a range of $3.20 to $3.40 per share, an increase of approximately 20% from the midpoint of its previous range of $2.65 to $2.85.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Financial Summary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1176"/>
        <w:gridCol w:w="754"/>
        <w:gridCol w:w="757"/>
        <w:gridCol w:w="109"/>
        <w:gridCol w:w="109"/>
        <w:gridCol w:w="109"/>
        <w:gridCol w:w="301"/>
        <w:gridCol w:w="388"/>
        <w:gridCol w:w="288"/>
        <w:gridCol w:w="129"/>
        <w:gridCol w:w="129"/>
        <w:gridCol w:w="129"/>
        <w:gridCol w:w="301"/>
        <w:gridCol w:w="330"/>
        <w:gridCol w:w="246"/>
        <w:gridCol w:w="129"/>
        <w:gridCol w:w="129"/>
        <w:gridCol w:w="129"/>
        <w:gridCol w:w="250"/>
        <w:gridCol w:w="250"/>
        <w:gridCol w:w="251"/>
        <w:gridCol w:w="109"/>
        <w:gridCol w:w="109"/>
        <w:gridCol w:w="109"/>
        <w:gridCol w:w="295"/>
        <w:gridCol w:w="369"/>
        <w:gridCol w:w="307"/>
        <w:gridCol w:w="123"/>
        <w:gridCol w:w="123"/>
        <w:gridCol w:w="123"/>
        <w:gridCol w:w="295"/>
        <w:gridCol w:w="369"/>
        <w:gridCol w:w="307"/>
        <w:gridCol w:w="123"/>
        <w:gridCol w:w="123"/>
        <w:gridCol w:w="123"/>
        <w:gridCol w:w="233"/>
        <w:gridCol w:w="233"/>
        <w:gridCol w:w="339"/>
      </w:tblGrid>
      <w:tr>
        <w:trPr/>
        <w:tc>
          <w:tcPr>
            <w:tcW w:w="117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Change</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3,903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7,905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13,591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23,276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143%</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33%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31%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123%</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w:t>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gallons and gallon equivalents converted as described in the table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Earnings Conference Call</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An investor conference call will be held today, July 23, 2026, at 5:00 PM Eastern Time to discuss our second quarter results. Participants can access the live webcast by visiting our website at ir.worldkinect.com. An on-demand replay of the webcast will be available shortly after the call.</w:t>
      </w: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About the Company</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Headquartered in Miami, Florida, World Fuel is a leading global provider of aviation, marine and ground-based transportation fuels and complementary services. Through an integrated global supply and logistics network, it sources and distributes products and services to meet customer needs across more than 200 countries and territories throughout the world, including lower-carbon fuels to support customers' energy-transition objectives. In the United States, the Company also markets natural gas and related solutions.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visit world-kinect.com.</w:t>
      </w:r>
    </w:p>
    <w:p>
      <w:pPr>
        <w:pStyle w:val="TextBody"/>
        <w:bidi w:val="0"/>
        <w:spacing w:lineRule="auto" w:line="288" w:before="240" w:after="2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EPS is a non-GAAP measure that excludes from the corresponding GAAP financial measure of diluted earnings per share the effect of adjustments as described under "Non-GAAP Financial Measures". We have not provided a reconciliation of such non-GAAP guidance to the corresponding GAAP measure because we cannot predict and quantify with a reasonable degree of confidence all of the adjustments that may occur during the period.</w:t>
      </w:r>
    </w:p>
    <w:p>
      <w:pPr>
        <w:pStyle w:val="TextBody"/>
        <w:bidi w:val="0"/>
        <w:spacing w:before="240" w:after="24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Contacts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Braulio Medrano, Senior Director FP&amp;A and Investor Relations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investor@worldfuel.com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World Kinect Corporation (the "Company"), along with its consolidated subsidiaries, is referred to collectively as "World Kinect," "World Fuel," "we," "our," and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"Net income (loss)" means net income (loss) attributable to World Kinect as presented in the Consolidated Statements of Income and Comprehensive Income.</w:t>
      </w:r>
    </w:p>
    <w:p>
      <w:pPr>
        <w:pStyle w:val="TextBody"/>
        <w:bidi w:val="0"/>
        <w:spacing w:lineRule="auto" w:line="288" w:before="0" w:after="120"/>
        <w:ind w:left="0" w:right="0" w:hanging="360"/>
        <w:jc w:val="both"/>
        <w:rPr/>
      </w:pPr>
      <w:r>
        <w:rPr>
          <w:strike/>
          <w:color w:val="000000"/>
        </w:rPr>
        <w:t>•</w:t>
      </w:r>
      <w:r>
        <w:rPr>
          <w:rFonts w:ascii="Times New Roman;serif" w:hAnsi="Times New Roman;serif"/>
          <w:b w:val="false"/>
          <w:color w:val="000000"/>
          <w:sz w:val="22"/>
        </w:rPr>
        <w:t>"Operating margin" means income (loss) from operations as a percentage of gross profit.</w:t>
      </w: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Non-GAAP Financial Measures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believe that the non-GAAP financial measures, when considered in conjunction with our financial information prepared in accordance with GAAP, are useful to investors to further aid in evaluating our ongoing financial performance and to provide supplemental information to our GAAP results.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non-GAAP financial measures exclude acquisition and divestiture related expenses, costs associated with restructuring activities (including all costs associated with exit activities),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 and related penalties and fees, as well as operating results associated with certain non-core businesses divested or otherwise in the process of being exited or wound-down for periods following management's determination that the operating results of such businesses are no longer indicative of the Company's ongoing operations ("non-core divestitures and business exits"). While these non-core divestitures and business exits do not qualify for or represent discontinued operations under the applicable accounting guidance because they do not represent a strategic shift that will have a major effect on our operations and financial results, we believe that excluding the operating results associated with this activity enhances investors' understanding of the profitability of our remaining businesses.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use the following non-GAAP measures: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net income attributable to World Kinect</w:t>
      </w:r>
      <w:r>
        <w:rPr>
          <w:color w:val="000000"/>
        </w:rPr>
        <w:t xml:space="preserve"> </w:t>
      </w:r>
      <w:r>
        <w:rPr>
          <w:rFonts w:ascii="Times New Roman;serif" w:hAnsi="Times New Roman;serif"/>
          <w:b/>
          <w:color w:val="000000"/>
          <w:sz w:val="22"/>
        </w:rPr>
        <w:t>("Adjusted net income")</w:t>
      </w:r>
      <w:r>
        <w:rPr>
          <w:color w:val="000000"/>
        </w:rPr>
        <w:t xml:space="preserve"> </w:t>
      </w:r>
      <w:r>
        <w:rPr>
          <w:rFonts w:ascii="Times New Roman;serif" w:hAnsi="Times New Roman;serif"/>
          <w:b w:val="false"/>
          <w:color w:val="000000"/>
          <w:sz w:val="22"/>
        </w:rPr>
        <w:t>is defined as net income excluding the impact of acquisition and divestiture related expenses, costs associated with restructuring activities (including all costs associated with exit activities), impairments, gains or losses on the extinguishment of debt, gains or losses on sale of businesses, integration costs, non-operating legal settlements, costs associated with the Finnish bid error, and operating results associated with non-core divestitures and business exits.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diluted earnings per common share ("Adjusted EPS")</w:t>
      </w:r>
      <w:r>
        <w:rPr>
          <w:color w:val="000000"/>
        </w:rPr>
        <w:t xml:space="preserve"> </w:t>
      </w:r>
      <w:r>
        <w:rPr>
          <w:rFonts w:ascii="Times New Roman;serif" w:hAnsi="Times New Roman;serif"/>
          <w:b w:val="false"/>
          <w:color w:val="000000"/>
          <w:sz w:val="22"/>
        </w:rPr>
        <w:t>is computed by dividing adjusted net income by the sum of the weighted average number of shares of common stock outstanding for the period and the number of additional shares of common stock that would have been outstanding if our outstanding potentially dilutive securities had been issued. For the purpose of calculating Adjusted EPS, the weighted average number of shares of common stock outstanding is adjusted to include the convertible note hedges. Potentially dilutive securities include share-based compensation awards, such as non-vested restricted stock units, performance stock units where the performance requirements have been met, settled stock appreciation rights awards, and the convertible notes.</w:t>
      </w:r>
    </w:p>
    <w:p>
      <w:pPr>
        <w:pStyle w:val="TextBody"/>
        <w:bidi w:val="0"/>
        <w:spacing w:before="240" w:after="24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earnings before interest, taxes, depreciation and amortization ("Adjusted EBITDA")</w:t>
      </w:r>
      <w:r>
        <w:rPr>
          <w:color w:val="000000"/>
        </w:rPr>
        <w:t xml:space="preserve"> </w:t>
      </w:r>
      <w:r>
        <w:rPr>
          <w:rFonts w:ascii="Times New Roman;serif" w:hAnsi="Times New Roman;serif"/>
          <w:b w:val="false"/>
          <w:color w:val="000000"/>
          <w:sz w:val="22"/>
        </w:rPr>
        <w:t>is defined as net income including 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costs associated with the Finnish bid error, and operating results associated with non-core divestitures and business exits.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income from operations</w:t>
      </w:r>
      <w:r>
        <w:rPr>
          <w:color w:val="000000"/>
        </w:rPr>
        <w:t xml:space="preserve"> </w:t>
      </w:r>
      <w:r>
        <w:rPr>
          <w:rFonts w:ascii="Times New Roman;serif" w:hAnsi="Times New Roman;serif"/>
          <w:b w:val="false"/>
          <w:color w:val="000000"/>
          <w:sz w:val="22"/>
        </w:rPr>
        <w:t xml:space="preserve">is defined as income (loss) from operations excluding the impact of acquisition and divestiture related expenses, costs associated with restructuring activities (including all costs associated with exit activities), impairments, integration costs, costs associated with the Finnish bid error, and operating results associated with non-core divestitures and business exits. </w:t>
      </w:r>
    </w:p>
    <w:p>
      <w:pPr>
        <w:pStyle w:val="TextBody"/>
        <w:bidi w:val="0"/>
        <w:spacing w:lineRule="auto" w:line="288" w:before="0" w:after="120"/>
        <w:ind w:left="0" w:right="0" w:hanging="360"/>
        <w:jc w:val="both"/>
        <w:rPr/>
      </w:pPr>
      <w:r>
        <w:rPr>
          <w:strike/>
          <w:color w:val="000000"/>
        </w:rPr>
        <w:t>•</w:t>
      </w:r>
      <w:r>
        <w:rPr>
          <w:rFonts w:ascii="Times New Roman;serif" w:hAnsi="Times New Roman;serif"/>
          <w:b/>
          <w:color w:val="000000"/>
          <w:sz w:val="22"/>
        </w:rPr>
        <w:t xml:space="preserve">Adjusted income from operations as a percentage of gross profit ("Adjusted operating margin") </w:t>
      </w:r>
      <w:r>
        <w:rPr>
          <w:rFonts w:ascii="Times New Roman;serif" w:hAnsi="Times New Roman;serif"/>
          <w:b w:val="false"/>
          <w:color w:val="000000"/>
          <w:sz w:val="22"/>
        </w:rPr>
        <w:t xml:space="preserve">is computed by dividing Adjusted income from operations by Adjusted gross profit. </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operating expenses</w:t>
      </w:r>
      <w:r>
        <w:rPr>
          <w:color w:val="000000"/>
        </w:rPr>
        <w:t xml:space="preserve"> </w:t>
      </w:r>
      <w:r>
        <w:rPr>
          <w:rFonts w:ascii="Times New Roman;serif" w:hAnsi="Times New Roman;serif"/>
          <w:b w:val="false"/>
          <w:color w:val="000000"/>
          <w:sz w:val="22"/>
        </w:rPr>
        <w:t>is defined as operating expenses excluding the impact of acquisition and divestiture related expenses, costs associated with restructuring activities (including all costs associated with exit activities), impairments, integration costs, costs associated with the Finnish bid error, and operating results associated with non-core divestitures and business exits.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Adjusted gross profit</w:t>
      </w:r>
      <w:r>
        <w:rPr>
          <w:color w:val="000000"/>
        </w:rPr>
        <w:t xml:space="preserve"> </w:t>
      </w:r>
      <w:r>
        <w:rPr>
          <w:rFonts w:ascii="Times New Roman;serif" w:hAnsi="Times New Roman;serif"/>
          <w:b w:val="false"/>
          <w:color w:val="000000"/>
          <w:sz w:val="22"/>
        </w:rPr>
        <w:t>is defined as gross profit excluding the impact of costs associated with the Finnish bid error and operating results associated with non-core divestitures and business exits.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2"/>
        </w:rPr>
        <w:t>Free cash flow</w:t>
      </w:r>
      <w:r>
        <w:rPr>
          <w:color w:val="000000"/>
        </w:rPr>
        <w:t xml:space="preserve"> </w:t>
      </w:r>
      <w:r>
        <w:rPr>
          <w:rFonts w:ascii="Times New Roman;serif" w:hAnsi="Times New Roman;serif"/>
          <w:b w:val="false"/>
          <w:color w:val="000000"/>
          <w:sz w:val="22"/>
        </w:rPr>
        <w:t>is defined as operating cash flow minus total capital expenditures.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Investors are encouraged to review the reconciliation of these non-GAAP financial measures to their most directly comparable GAAP financial measures in this press release and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2"/>
          <w:u w:val="single"/>
        </w:rPr>
      </w:pPr>
      <w:r>
        <w:rPr>
          <w:rFonts w:ascii="Times New Roman;serif" w:hAnsi="Times New Roman;serif"/>
          <w:b/>
          <w:color w:val="000000"/>
          <w:sz w:val="22"/>
          <w:u w:val="single"/>
        </w:rPr>
        <w:t>Information Relating to Forward-Looking Statements</w:t>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"expect," "could," "conviction," "would," "will," "continue," "future," "may," "outlook," "undertake," "anticipated," "forecast," "forward," "guidance," "predict," "expectation," or words or phrases of similar meaning. Specifically, this release includes forward-looking statements regarding our future performance and geopolitical and economic conditions in the markets in which we operate. Our forward-looking statements are qualified in their entirety by cautionary statements and risk factor disclosures contained in our Securities and Exchange Commission ("SEC") filings, including our most recent Annual Report on Form 10-K filed with the SEC. Our actual results may differ materially from the future results, performance or achievements expressed or implied by the forward-looking statements. Important factors that could cause actual results to differ materially from the results and events anticipated or implied by such forward-looking statements include, but are not limited to: customer and counterparty creditworthiness and our ability to collect accounts receivable and settle derivative contracts; changes in the market prices of, or an unexpected shortage or disruption in the supply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changes in the political, economic or regulatory environment generally and in the markets in which we operate, including as a result of the current conflicts in Middle East and Eastern Europe;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AI and other information technology or security related incidents on us, our customers or other parties; the imposition of tariffs or retaliatory tariffs and other trade measures, or renegotiation of existing trade arrangements; greenhouse gas reduction programs and other environmental and climate change legislation adopted by governments around the world, including cap and trade regimes, carbon taxes, increased efficiency standards and mandates for renewable energy, and increased scrutiny on environmental and carbon offset credits, each of which could increase our operating and compliance costs as well as adversely impact our sales of fuel products; changes in credit terms extended to us </w:t>
      </w:r>
    </w:p>
    <w:p>
      <w:pPr>
        <w:pStyle w:val="TextBody"/>
        <w:bidi w:val="0"/>
        <w:spacing w:before="240" w:after="24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from our suppliers; non-performance of suppliers on their sale commitments and customers on their purchase commitments; non-performance of third-party service providers; our ability to effectively integrate and derive benefits from acquired businesses or fully realize the anticipated benefits of our acquisitions, divestitures and other strategic transactions; our ability to effectively complete divestitures in accordance with anticipated timing;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the proliferation of alternative fuel which could result in lower global demand for certain energy sources;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or route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pandemics, terrorism, global conflicts, power outages, and other events that could impact demand for fuel;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tariffs and trade measures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or the extent to which any factor may cause actual results to differ materially from those contained in any forward-looking statement. Further, forward-looking statements speak only as of the date they are made. Accordingly, we undertake no obligation to publicly update or revise any forward-looking statements, whether as a result of new information, changes in expectations, future events, or otherwise, except as required by law.</w:t>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 Some amounts in this press release may not add due to rounding. All percentages have been calculated using unrounded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KINECT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2637"/>
        <w:gridCol w:w="2160"/>
        <w:gridCol w:w="2123"/>
        <w:gridCol w:w="109"/>
        <w:gridCol w:w="109"/>
        <w:gridCol w:w="109"/>
        <w:gridCol w:w="228"/>
        <w:gridCol w:w="832"/>
        <w:gridCol w:w="118"/>
        <w:gridCol w:w="109"/>
        <w:gridCol w:w="109"/>
        <w:gridCol w:w="109"/>
        <w:gridCol w:w="270"/>
        <w:gridCol w:w="981"/>
        <w:gridCol w:w="202"/>
      </w:tblGrid>
      <w:tr>
        <w:trPr/>
        <w:tc>
          <w:tcPr>
            <w:tcW w:w="263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$48.6 million and $15.6 million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derivative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5,863.9 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derivative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0.1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 shares authorized, 51.2 and 54.1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5,863.9 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KINECT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1661"/>
        <w:gridCol w:w="1251"/>
        <w:gridCol w:w="1143"/>
        <w:gridCol w:w="109"/>
        <w:gridCol w:w="109"/>
        <w:gridCol w:w="109"/>
        <w:gridCol w:w="218"/>
        <w:gridCol w:w="901"/>
        <w:gridCol w:w="112"/>
        <w:gridCol w:w="112"/>
        <w:gridCol w:w="112"/>
        <w:gridCol w:w="112"/>
        <w:gridCol w:w="218"/>
        <w:gridCol w:w="792"/>
        <w:gridCol w:w="112"/>
        <w:gridCol w:w="109"/>
        <w:gridCol w:w="109"/>
        <w:gridCol w:w="109"/>
        <w:gridCol w:w="214"/>
        <w:gridCol w:w="885"/>
        <w:gridCol w:w="110"/>
        <w:gridCol w:w="110"/>
        <w:gridCol w:w="110"/>
        <w:gridCol w:w="110"/>
        <w:gridCol w:w="214"/>
        <w:gridCol w:w="885"/>
        <w:gridCol w:w="169"/>
      </w:tblGrid>
      <w:tr>
        <w:trPr/>
        <w:tc>
          <w:tcPr>
            <w:tcW w:w="166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23,276.2 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6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6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hedges, net of income tax expense (benefit) of $9.3 and $0.5 for the three months ended June 30, 2026 and 2025, respectively, and net of income tax expense (benefit) of $(5.1) and $(0.4)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World Kinect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KINECT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 In millions)</w:t>
      </w:r>
    </w:p>
    <w:tbl>
      <w:tblPr>
        <w:tblW w:w="10205" w:type="dxa"/>
        <w:jc w:val="left"/>
        <w:tblInd w:w="0" w:type="dxa"/>
        <w:tblLayout w:type="fixed"/>
        <w:tblCellMar>
          <w:top w:w="28" w:type="dxa"/>
          <w:left w:w="28" w:type="dxa"/>
          <w:bottom w:w="28" w:type="dxa"/>
          <w:right w:w="28" w:type="dxa"/>
        </w:tblCellMar>
      </w:tblPr>
      <w:tblGrid>
        <w:gridCol w:w="1743"/>
        <w:gridCol w:w="1310"/>
        <w:gridCol w:w="1319"/>
        <w:gridCol w:w="109"/>
        <w:gridCol w:w="109"/>
        <w:gridCol w:w="109"/>
        <w:gridCol w:w="245"/>
        <w:gridCol w:w="717"/>
        <w:gridCol w:w="126"/>
        <w:gridCol w:w="126"/>
        <w:gridCol w:w="126"/>
        <w:gridCol w:w="126"/>
        <w:gridCol w:w="245"/>
        <w:gridCol w:w="767"/>
        <w:gridCol w:w="126"/>
        <w:gridCol w:w="109"/>
        <w:gridCol w:w="109"/>
        <w:gridCol w:w="109"/>
        <w:gridCol w:w="237"/>
        <w:gridCol w:w="692"/>
        <w:gridCol w:w="122"/>
        <w:gridCol w:w="122"/>
        <w:gridCol w:w="122"/>
        <w:gridCol w:w="122"/>
        <w:gridCol w:w="237"/>
        <w:gridCol w:w="738"/>
        <w:gridCol w:w="183"/>
      </w:tblGrid>
      <w:tr>
        <w:trPr/>
        <w:tc>
          <w:tcPr>
            <w:tcW w:w="174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including noncontrolling interest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with counterparties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 net of divested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reclassified as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WORLD KINECT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BUSINESS SEGMENTS INFORMATION</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(Unaudited - In millions)</w:t>
      </w:r>
    </w:p>
    <w:tbl>
      <w:tblPr>
        <w:tblW w:w="10022" w:type="dxa"/>
        <w:jc w:val="left"/>
        <w:tblInd w:w="0" w:type="dxa"/>
        <w:tblLayout w:type="fixed"/>
        <w:tblCellMar>
          <w:top w:w="28" w:type="dxa"/>
          <w:left w:w="28" w:type="dxa"/>
          <w:bottom w:w="28" w:type="dxa"/>
          <w:right w:w="28" w:type="dxa"/>
        </w:tblCellMar>
      </w:tblPr>
      <w:tblGrid>
        <w:gridCol w:w="1084"/>
        <w:gridCol w:w="956"/>
        <w:gridCol w:w="960"/>
        <w:gridCol w:w="109"/>
        <w:gridCol w:w="109"/>
        <w:gridCol w:w="109"/>
        <w:gridCol w:w="266"/>
        <w:gridCol w:w="1099"/>
        <w:gridCol w:w="137"/>
        <w:gridCol w:w="137"/>
        <w:gridCol w:w="137"/>
        <w:gridCol w:w="137"/>
        <w:gridCol w:w="266"/>
        <w:gridCol w:w="966"/>
        <w:gridCol w:w="137"/>
        <w:gridCol w:w="109"/>
        <w:gridCol w:w="109"/>
        <w:gridCol w:w="109"/>
        <w:gridCol w:w="236"/>
        <w:gridCol w:w="977"/>
        <w:gridCol w:w="122"/>
        <w:gridCol w:w="122"/>
        <w:gridCol w:w="122"/>
        <w:gridCol w:w="122"/>
        <w:gridCol w:w="236"/>
        <w:gridCol w:w="977"/>
        <w:gridCol w:w="172"/>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23,276.2 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18,495.8 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 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SALES VOLUME SUPPLEMENTAL INFORMATION</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(Unaudited - In millions)</w:t>
      </w:r>
    </w:p>
    <w:tbl>
      <w:tblPr>
        <w:tblW w:w="9594" w:type="dxa"/>
        <w:jc w:val="left"/>
        <w:tblInd w:w="0" w:type="dxa"/>
        <w:tblLayout w:type="fixed"/>
        <w:tblCellMar>
          <w:top w:w="28" w:type="dxa"/>
          <w:left w:w="28" w:type="dxa"/>
          <w:bottom w:w="28" w:type="dxa"/>
          <w:right w:w="28" w:type="dxa"/>
        </w:tblCellMar>
      </w:tblPr>
      <w:tblGrid>
        <w:gridCol w:w="615"/>
        <w:gridCol w:w="538"/>
        <w:gridCol w:w="541"/>
        <w:gridCol w:w="109"/>
        <w:gridCol w:w="109"/>
        <w:gridCol w:w="109"/>
        <w:gridCol w:w="565"/>
        <w:gridCol w:w="365"/>
        <w:gridCol w:w="365"/>
        <w:gridCol w:w="365"/>
        <w:gridCol w:w="365"/>
        <w:gridCol w:w="365"/>
        <w:gridCol w:w="565"/>
        <w:gridCol w:w="365"/>
        <w:gridCol w:w="365"/>
        <w:gridCol w:w="109"/>
        <w:gridCol w:w="109"/>
        <w:gridCol w:w="109"/>
        <w:gridCol w:w="565"/>
        <w:gridCol w:w="328"/>
        <w:gridCol w:w="328"/>
        <w:gridCol w:w="328"/>
        <w:gridCol w:w="328"/>
        <w:gridCol w:w="328"/>
        <w:gridCol w:w="565"/>
        <w:gridCol w:w="328"/>
        <w:gridCol w:w="463"/>
      </w:tblGrid>
      <w:tr>
        <w:trPr/>
        <w:tc>
          <w:tcPr>
            <w:tcW w:w="6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3,556.2 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Land Segment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Marine Segment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3,902.5 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4,219.9 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7,904.6 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8,396.8 </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gallons and gallon equivalents of British Thermal Units (BTU) for our natural gas sales and Kilowatt Hours (kWh) for our power business.</w:t>
      </w:r>
    </w:p>
    <w:p>
      <w:pPr>
        <w:pStyle w:val="TextBody"/>
        <w:bidi w:val="0"/>
        <w:spacing w:lineRule="auto" w:line="288" w:before="120" w:after="12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Converted from metric tons to gallons at a rate of 264 gallons per metric ton. Marine segment metric tons were 3.5 and 3.9 for the three months ended June 30, 2026 and 2025, respectively; and 7.3 and 7.6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KINECT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 In millions, except per share data)</w:t>
      </w:r>
    </w:p>
    <w:tbl>
      <w:tblPr>
        <w:tblW w:w="11095"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211"/>
        <w:gridCol w:w="526"/>
        <w:gridCol w:w="109"/>
        <w:gridCol w:w="109"/>
        <w:gridCol w:w="109"/>
        <w:gridCol w:w="109"/>
        <w:gridCol w:w="211"/>
        <w:gridCol w:w="526"/>
        <w:gridCol w:w="109"/>
        <w:gridCol w:w="109"/>
        <w:gridCol w:w="109"/>
        <w:gridCol w:w="109"/>
        <w:gridCol w:w="211"/>
        <w:gridCol w:w="631"/>
        <w:gridCol w:w="109"/>
        <w:gridCol w:w="109"/>
        <w:gridCol w:w="109"/>
        <w:gridCol w:w="109"/>
        <w:gridCol w:w="211"/>
        <w:gridCol w:w="526"/>
        <w:gridCol w:w="109"/>
        <w:gridCol w:w="109"/>
        <w:gridCol w:w="109"/>
        <w:gridCol w:w="109"/>
        <w:gridCol w:w="211"/>
        <w:gridCol w:w="631"/>
        <w:gridCol w:w="109"/>
        <w:gridCol w:w="109"/>
        <w:gridCol w:w="109"/>
        <w:gridCol w:w="109"/>
        <w:gridCol w:w="211"/>
        <w:gridCol w:w="526"/>
        <w:gridCol w:w="109"/>
        <w:gridCol w:w="109"/>
        <w:gridCol w:w="109"/>
        <w:gridCol w:w="109"/>
        <w:gridCol w:w="211"/>
        <w:gridCol w:w="631"/>
        <w:gridCol w:w="109"/>
        <w:gridCol w:w="109"/>
        <w:gridCol w:w="109"/>
        <w:gridCol w:w="109"/>
        <w:gridCol w:w="211"/>
        <w:gridCol w:w="52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color w:val="000000"/>
              </w:rPr>
              <w:t xml:space="preserve"> </w:t>
            </w:r>
            <w:r>
              <w:rPr>
                <w:rFonts w:ascii="Times New Roman;serif" w:hAnsi="Times New Roman;serif"/>
                <w:b w:val="false"/>
                <w:color w:val="000000"/>
                <w:sz w:val="13"/>
              </w:rPr>
              <w:t>(1)</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adjustments to weighted average diluted shares outstanding</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Non-core divestitures and business exits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Finnish bid error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exit costs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22"/>
        </w:rPr>
        <w:t>For the three and six months ended June 30, 2025, Adjusted diluted earnings per share was calculated considering the impact of dilutive shares that were not considered for GAAP purposes as these periods were in a net loss position. For the three and six months ended June 30, 2025, GAAP weighted-average shares outstanding were 56.0 million and 56.5 million and, for non-GAAP purposes, were adjusted by 0.3 million and 0.4 million dilutive shares outstanding, resulting in non-GAAP weighted average shares outstanding of 56.3 million and 56.9 million, respectively. There were no adjustments made to diluted weighted-average shares outstanding for any other period presented.</w:t>
      </w:r>
    </w:p>
    <w:p>
      <w:pPr>
        <w:pStyle w:val="TextBody"/>
        <w:bidi w:val="0"/>
        <w:spacing w:lineRule="auto" w:line="288" w:before="0" w:after="0"/>
        <w:ind w:left="0" w:right="0" w:hanging="360"/>
        <w:jc w:val="both"/>
        <w:rPr/>
      </w:pPr>
      <w:r>
        <w:rPr>
          <w:rFonts w:ascii="Times New Roman;serif" w:hAnsi="Times New Roman;serif"/>
          <w:b w:val="false"/>
          <w:color w:val="000000"/>
          <w:sz w:val="14"/>
        </w:rPr>
        <w:t>(2)</w:t>
      </w:r>
      <w:r>
        <w:rPr>
          <w:rFonts w:ascii="Times New Roman;serif" w:hAnsi="Times New Roman;serif"/>
          <w:b w:val="false"/>
          <w:color w:val="000000"/>
          <w:sz w:val="22"/>
        </w:rPr>
        <w:t>Represents the operating results of certain non</w:t>
        <w:noBreakHyphen/>
        <w:t>core businesses—specifically direct fuel transportation services, lubricants, heating oil, power, and certain advisory and sustainability offerings—for periods following management's determination that such results are no longer indicative of the Company's ongoing operations. During the three and six months ended June 30, 2025, these businesses were considered to be part of our core business portfolio and no adjustments were made to remove these businesses from our non-GAAP financial measures. During the three and six months ended June 30, 2026, management had initiated actions to divest or exit select Land segment activities that are no longer aligned with the Company’s core strategy or profitability objectives and these businesses were in a wind</w:t>
        <w:noBreakHyphen/>
        <w:t>down or divestiture phase, during which the Company continued to service existing customer obligations but ceased investing in or actively marketing the underlying products and services. Accordingly, for the three and six months ended June 30, 2026, the operating results of these businesses are excluded from our non-GAAP financial measures. While these activities do not qualify as discontinued operations under applicable accounting guidance, management believes their operating results during the exit and divestiture period are not representative of the Company's ongoing operations and has therefore excluded them from non</w:t>
        <w:noBreakHyphen/>
        <w:t>GAAP financial measures to enhance comparability and investor understanding of core business performance.</w:t>
      </w:r>
    </w:p>
    <w:p>
      <w:pPr>
        <w:pStyle w:val="TextBody"/>
        <w:bidi w:val="0"/>
        <w:spacing w:lineRule="auto" w:line="288"/>
        <w:ind w:left="0" w:right="0" w:hanging="360"/>
        <w:jc w:val="both"/>
        <w:rPr/>
      </w:pPr>
      <w:r>
        <w:rPr>
          <w:rFonts w:ascii="Times New Roman;serif" w:hAnsi="Times New Roman;serif"/>
          <w:b w:val="false"/>
          <w:color w:val="000000"/>
          <w:sz w:val="14"/>
        </w:rPr>
        <w:t>(3)</w:t>
      </w:r>
      <w:r>
        <w:rPr>
          <w:rFonts w:ascii="Times New Roman;serif" w:hAnsi="Times New Roman;serif"/>
          <w:b w:val="false"/>
          <w:color w:val="000000"/>
          <w:sz w:val="22"/>
        </w:rPr>
        <w:t xml:space="preserve">Restructuring and exit costs during the three months ended June 30, 2026 were comprised of $3.7 million of charges related to our restructuring program, including severance and other compensation costs as well as transition costs associated with our global finance and accounting optimization program, and $5.2 million of charges associated with exit activities related to our decision to exit certain operations within the land segment that are no longer profitable or aligned with the Company's core business and corporate strategy, comprised of charges associated with various legal matters and contract termination costs of $2.4 million and severance and compensation costs of $3.2 million, which were partially offset by a net gain on the sale of assets of $0.5 million. Restructuring and exit costs during the six </w:t>
      </w:r>
    </w:p>
    <w:p>
      <w:pPr>
        <w:pStyle w:val="TextBody"/>
        <w:bidi w:val="0"/>
        <w:spacing w:before="240" w:after="24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months ended June 30, 2026 were comprised of $9.5 million of charges related to our restructuring program, including severance and other compensation costs as well as transition costs associated with our global finance and accounting optimization program, and $6.1 million of charges associated with exit activities related to our decision to exit certain operations within the land segment that are no longer profitable or aligned with the Company's core business and corporate strategy, comprised of charges associated with various legal matters and contract termination costs of $10.2 million and severance and compensation costs of $4.1 million, which were partially offset by a net gain on the sale of assets of $8.2 million. Restructuring and exit costs during the three and six months ended June 30, 2025 were principally related to our restructuring program, including severance and other compensation costs as well as transition costs associated with our global finance and accounting optimization program.</w:t>
      </w:r>
    </w:p>
    <w:tbl>
      <w:tblPr>
        <w:tblW w:w="10205" w:type="dxa"/>
        <w:jc w:val="left"/>
        <w:tblInd w:w="0" w:type="dxa"/>
        <w:tblLayout w:type="fixed"/>
        <w:tblCellMar>
          <w:top w:w="28" w:type="dxa"/>
          <w:left w:w="28" w:type="dxa"/>
          <w:bottom w:w="28" w:type="dxa"/>
          <w:right w:w="28" w:type="dxa"/>
        </w:tblCellMar>
      </w:tblPr>
      <w:tblGrid>
        <w:gridCol w:w="1383"/>
        <w:gridCol w:w="1207"/>
        <w:gridCol w:w="1213"/>
        <w:gridCol w:w="109"/>
        <w:gridCol w:w="109"/>
        <w:gridCol w:w="109"/>
        <w:gridCol w:w="271"/>
        <w:gridCol w:w="813"/>
        <w:gridCol w:w="140"/>
        <w:gridCol w:w="140"/>
        <w:gridCol w:w="140"/>
        <w:gridCol w:w="140"/>
        <w:gridCol w:w="271"/>
        <w:gridCol w:w="871"/>
        <w:gridCol w:w="140"/>
        <w:gridCol w:w="109"/>
        <w:gridCol w:w="109"/>
        <w:gridCol w:w="109"/>
        <w:gridCol w:w="256"/>
        <w:gridCol w:w="767"/>
        <w:gridCol w:w="132"/>
        <w:gridCol w:w="132"/>
        <w:gridCol w:w="132"/>
        <w:gridCol w:w="132"/>
        <w:gridCol w:w="256"/>
        <w:gridCol w:w="820"/>
        <w:gridCol w:w="195"/>
      </w:tblGrid>
      <w:tr>
        <w:trPr/>
        <w:tc>
          <w:tcPr>
            <w:tcW w:w="138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0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(360.4)</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Finnish bid error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135.7</w:t>
            </w: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230.2</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w:t>
            </w:r>
            <w:r>
              <w:rPr>
                <w:color w:val="000000"/>
              </w:rPr>
              <w:t>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585"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281"/>
        <w:gridCol w:w="52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divestitures and business exits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Finnish bid error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3055"/>
                <wp:effectExtent l="0" t="0" r="0" b="0"/>
                <wp:wrapNone/>
                <wp:docPr id="14" name="Frame1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tbl>
      <w:tblPr>
        <w:tblW w:w="11585"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281"/>
        <w:gridCol w:w="52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Land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Income (Loss)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Finnish bid error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391"/>
        <w:gridCol w:w="1223"/>
        <w:gridCol w:w="1229"/>
        <w:gridCol w:w="109"/>
        <w:gridCol w:w="109"/>
        <w:gridCol w:w="109"/>
        <w:gridCol w:w="295"/>
        <w:gridCol w:w="804"/>
        <w:gridCol w:w="152"/>
        <w:gridCol w:w="152"/>
        <w:gridCol w:w="152"/>
        <w:gridCol w:w="152"/>
        <w:gridCol w:w="295"/>
        <w:gridCol w:w="738"/>
        <w:gridCol w:w="152"/>
        <w:gridCol w:w="109"/>
        <w:gridCol w:w="109"/>
        <w:gridCol w:w="109"/>
        <w:gridCol w:w="267"/>
        <w:gridCol w:w="724"/>
        <w:gridCol w:w="138"/>
        <w:gridCol w:w="138"/>
        <w:gridCol w:w="138"/>
        <w:gridCol w:w="138"/>
        <w:gridCol w:w="267"/>
        <w:gridCol w:w="800"/>
        <w:gridCol w:w="206"/>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4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(67.7)</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w:t>
            </w: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w:t>
            </w:r>
            <w:r>
              <w:rPr>
                <w:color w:val="000000"/>
              </w:rPr>
              <w:t>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3055"/>
                <wp:effectExtent l="0" t="0" r="0" b="0"/>
                <wp:wrapNone/>
                <wp:docPr id="15" name="Frame1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5684</Words>
  <Characters>32224</Characters>
  <CharactersWithSpaces>37208</CharactersWithSpaces>
  <Paragraphs>1410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