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both"/>
        <w:rPr/>
      </w:pPr>
      <w:r>
        <w:rPr/>
      </w:r>
    </w:p>
    <w:p>
      <w:pPr>
        <w:pStyle w:val="TextBody"/>
        <w:bidi w:val="0"/>
        <w:spacing w:lineRule="auto" w:line="288" w:before="240" w:after="240"/>
        <w:jc w:val="center"/>
        <w:rPr>
          <w:rFonts w:ascii="Arial;sans-serif" w:hAnsi="Arial;sans-serif"/>
          <w:b/>
          <w:color w:val="000000"/>
          <w:sz w:val="28"/>
        </w:rPr>
      </w:pPr>
      <w:r>
        <w:rPr>
          <w:rFonts w:ascii="Arial;sans-serif" w:hAnsi="Arial;sans-serif"/>
          <w:b/>
          <w:color w:val="000000"/>
          <w:sz w:val="28"/>
        </w:rPr>
        <w:t>UNITED STATES SECURITIES AND EXCHANGE COMMISSION</w:t>
      </w:r>
    </w:p>
    <w:p>
      <w:pPr>
        <w:pStyle w:val="TextBody"/>
        <w:bidi w:val="0"/>
        <w:spacing w:lineRule="auto" w:line="288" w:before="240" w:after="240"/>
        <w:jc w:val="center"/>
        <w:rPr>
          <w:rFonts w:ascii="Arial;sans-serif" w:hAnsi="Arial;sans-serif"/>
          <w:b/>
          <w:color w:val="000000"/>
          <w:sz w:val="20"/>
        </w:rPr>
      </w:pPr>
      <w:r>
        <w:rPr>
          <w:rFonts w:ascii="Arial;sans-serif" w:hAnsi="Arial;sans-serif"/>
          <w:b/>
          <w:color w:val="000000"/>
          <w:sz w:val="20"/>
        </w:rPr>
        <w:t>Washington, DC 20549</w:t>
      </w:r>
    </w:p>
    <w:p>
      <w:pPr>
        <w:pStyle w:val="TextBody"/>
        <w:bidi w:val="0"/>
        <w:spacing w:lineRule="auto" w:line="288" w:before="240" w:after="240"/>
        <w:jc w:val="center"/>
        <w:rPr>
          <w:rFonts w:ascii="Arial;sans-serif" w:hAnsi="Arial;sans-serif"/>
          <w:b/>
          <w:color w:val="000000"/>
          <w:sz w:val="28"/>
        </w:rPr>
      </w:pPr>
      <w:r>
        <w:rPr>
          <w:rFonts w:ascii="Arial;sans-serif" w:hAnsi="Arial;sans-serif"/>
          <w:b/>
          <w:color w:val="000000"/>
          <w:sz w:val="28"/>
        </w:rPr>
        <w:t>FORM 10-Q</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(Mark One)</w:t>
      </w:r>
    </w:p>
    <w:tbl>
      <w:tblPr>
        <w:tblW w:w="9657" w:type="dxa"/>
        <w:jc w:val="left"/>
        <w:tblInd w:w="0" w:type="dxa"/>
        <w:tblLayout w:type="fixed"/>
        <w:tblCellMar>
          <w:top w:w="28" w:type="dxa"/>
          <w:left w:w="28" w:type="dxa"/>
          <w:bottom w:w="28" w:type="dxa"/>
          <w:right w:w="28" w:type="dxa"/>
        </w:tblCellMar>
      </w:tblPr>
      <w:tblGrid>
        <w:gridCol w:w="124"/>
        <w:gridCol w:w="109"/>
        <w:gridCol w:w="109"/>
        <w:gridCol w:w="2726"/>
        <w:gridCol w:w="2726"/>
        <w:gridCol w:w="3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6" w:type="dxa"/>
            <w:tcBorders/>
            <w:vAlign w:val="center"/>
          </w:tcPr>
          <w:p>
            <w:pPr>
              <w:pStyle w:val="TableContents"/>
              <w:bidi w:val="0"/>
              <w:spacing w:before="0" w:after="283"/>
              <w:jc w:val="left"/>
              <w:rPr>
                <w:sz w:val="4"/>
                <w:szCs w:val="4"/>
              </w:rPr>
            </w:pPr>
            <w:r>
              <w:rPr>
                <w:sz w:val="4"/>
                <w:szCs w:val="4"/>
              </w:rPr>
            </w:r>
          </w:p>
        </w:tc>
        <w:tc>
          <w:tcPr>
            <w:tcW w:w="2726" w:type="dxa"/>
            <w:tcBorders/>
            <w:vAlign w:val="center"/>
          </w:tcPr>
          <w:p>
            <w:pPr>
              <w:pStyle w:val="TableContents"/>
              <w:bidi w:val="0"/>
              <w:spacing w:before="0" w:after="283"/>
              <w:jc w:val="left"/>
              <w:rPr>
                <w:sz w:val="4"/>
                <w:szCs w:val="4"/>
              </w:rPr>
            </w:pPr>
            <w:r>
              <w:rPr>
                <w:sz w:val="4"/>
                <w:szCs w:val="4"/>
              </w:rPr>
            </w:r>
          </w:p>
        </w:tc>
        <w:tc>
          <w:tcPr>
            <w:tcW w:w="38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QUARTERLY REPORT PURSUANT TO SECTION 13 OR 15(d) OF THE SECURITIES EXCHANGE ACT OF 1934</w:t>
            </w:r>
          </w:p>
        </w:tc>
      </w:tr>
    </w:tbl>
    <w:p>
      <w:pPr>
        <w:pStyle w:val="TextBody"/>
        <w:bidi w:val="0"/>
        <w:spacing w:lineRule="auto" w:line="288" w:before="0" w:after="120"/>
        <w:ind w:left="0" w:right="0" w:firstLine="720"/>
        <w:jc w:val="center"/>
        <w:rPr>
          <w:rFonts w:ascii="Arial;sans-serif" w:hAnsi="Arial;sans-serif"/>
          <w:b w:val="false"/>
          <w:color w:val="000000"/>
          <w:sz w:val="18"/>
        </w:rPr>
      </w:pPr>
      <w:r>
        <w:rPr>
          <w:rFonts w:ascii="Arial;sans-serif" w:hAnsi="Arial;sans-serif"/>
          <w:b w:val="false"/>
          <w:color w:val="000000"/>
          <w:sz w:val="18"/>
        </w:rPr>
        <w:t>For the quarterly period ended June 30, 2026</w:t>
      </w:r>
    </w:p>
    <w:p>
      <w:pPr>
        <w:pStyle w:val="TextBody"/>
        <w:bidi w:val="0"/>
        <w:spacing w:lineRule="auto" w:line="288" w:before="0" w:after="120"/>
        <w:jc w:val="center"/>
        <w:rPr>
          <w:rFonts w:ascii="Arial;sans-serif" w:hAnsi="Arial;sans-serif"/>
          <w:b w:val="false"/>
          <w:color w:val="000000"/>
          <w:sz w:val="16"/>
        </w:rPr>
      </w:pPr>
      <w:r>
        <w:rPr>
          <w:rFonts w:ascii="Arial;sans-serif" w:hAnsi="Arial;sans-serif"/>
          <w:b w:val="false"/>
          <w:color w:val="000000"/>
          <w:sz w:val="16"/>
        </w:rPr>
        <w:t>OR</w:t>
      </w:r>
    </w:p>
    <w:tbl>
      <w:tblPr>
        <w:tblW w:w="9626" w:type="dxa"/>
        <w:jc w:val="left"/>
        <w:tblInd w:w="0" w:type="dxa"/>
        <w:tblLayout w:type="fixed"/>
        <w:tblCellMar>
          <w:top w:w="28" w:type="dxa"/>
          <w:left w:w="28" w:type="dxa"/>
          <w:bottom w:w="28" w:type="dxa"/>
          <w:right w:w="28" w:type="dxa"/>
        </w:tblCellMar>
      </w:tblPr>
      <w:tblGrid>
        <w:gridCol w:w="124"/>
        <w:gridCol w:w="109"/>
        <w:gridCol w:w="109"/>
        <w:gridCol w:w="2715"/>
        <w:gridCol w:w="2715"/>
        <w:gridCol w:w="38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5" w:type="dxa"/>
            <w:tcBorders/>
            <w:vAlign w:val="center"/>
          </w:tcPr>
          <w:p>
            <w:pPr>
              <w:pStyle w:val="TableContents"/>
              <w:bidi w:val="0"/>
              <w:spacing w:before="0" w:after="283"/>
              <w:jc w:val="left"/>
              <w:rPr>
                <w:sz w:val="4"/>
                <w:szCs w:val="4"/>
              </w:rPr>
            </w:pPr>
            <w:r>
              <w:rPr>
                <w:sz w:val="4"/>
                <w:szCs w:val="4"/>
              </w:rPr>
            </w:r>
          </w:p>
        </w:tc>
        <w:tc>
          <w:tcPr>
            <w:tcW w:w="2715" w:type="dxa"/>
            <w:tcBorders/>
            <w:vAlign w:val="center"/>
          </w:tcPr>
          <w:p>
            <w:pPr>
              <w:pStyle w:val="TableContents"/>
              <w:bidi w:val="0"/>
              <w:spacing w:before="0" w:after="283"/>
              <w:jc w:val="left"/>
              <w:rPr>
                <w:sz w:val="4"/>
                <w:szCs w:val="4"/>
              </w:rPr>
            </w:pPr>
            <w:r>
              <w:rPr>
                <w:sz w:val="4"/>
                <w:szCs w:val="4"/>
              </w:rPr>
            </w:r>
          </w:p>
        </w:tc>
        <w:tc>
          <w:tcPr>
            <w:tcW w:w="38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TRANSITION REPORT PURSUANT TO SECTION 13 OR 15(d) OF THE SECURITIES EXCHANGE ACT OF 1934</w:t>
            </w:r>
          </w:p>
        </w:tc>
      </w:tr>
    </w:tbl>
    <w:p>
      <w:pPr>
        <w:pStyle w:val="TextBody"/>
        <w:bidi w:val="0"/>
        <w:spacing w:lineRule="auto" w:line="288" w:before="0" w:after="120"/>
        <w:ind w:left="0" w:right="0" w:firstLine="270"/>
        <w:jc w:val="center"/>
        <w:rPr>
          <w:rFonts w:ascii="Arial;sans-serif" w:hAnsi="Arial;sans-serif"/>
          <w:b w:val="false"/>
          <w:color w:val="000000"/>
          <w:sz w:val="20"/>
        </w:rPr>
      </w:pPr>
      <w:r>
        <w:rPr>
          <w:rFonts w:ascii="Arial;sans-serif" w:hAnsi="Arial;sans-serif"/>
          <w:b w:val="false"/>
          <w:color w:val="000000"/>
          <w:sz w:val="20"/>
        </w:rPr>
        <w:t>For the transition period from __________ to ___________</w:t>
      </w:r>
    </w:p>
    <w:p>
      <w:pPr>
        <w:pStyle w:val="TextBody"/>
        <w:bidi w:val="0"/>
        <w:spacing w:lineRule="auto" w:line="288" w:before="0" w:after="120"/>
        <w:jc w:val="center"/>
        <w:rPr/>
      </w:pPr>
      <w:r>
        <w:rPr>
          <w:color w:val="000000"/>
        </w:rPr>
        <w:t> </w:t>
      </w:r>
      <w:r>
        <w:rPr>
          <w:rFonts w:ascii="Arial;sans-serif" w:hAnsi="Arial;sans-serif"/>
          <w:b/>
          <w:color w:val="000000"/>
          <w:sz w:val="20"/>
        </w:rPr>
        <w:t xml:space="preserve">COMMISSION FILE NUMBER 001-09533 </w:t>
      </w:r>
    </w:p>
    <w:p>
      <w:pPr>
        <w:pStyle w:val="TextBody"/>
        <w:bidi w:val="0"/>
        <w:spacing w:before="0" w:after="120"/>
        <w:jc w:val="center"/>
        <w:rPr/>
      </w:pPr>
      <w:r>
        <w:rPr/>
      </w:r>
    </w:p>
    <w:p>
      <w:pPr>
        <w:pStyle w:val="TextBody"/>
        <w:bidi w:val="0"/>
        <w:spacing w:lineRule="auto" w:line="288" w:before="0" w:after="120"/>
        <w:jc w:val="center"/>
        <w:rPr>
          <w:rFonts w:ascii="Arial;sans-serif" w:hAnsi="Arial;sans-serif"/>
          <w:b/>
          <w:color w:val="000000"/>
          <w:sz w:val="18"/>
        </w:rPr>
      </w:pPr>
      <w:r>
        <w:rPr>
          <w:rFonts w:ascii="Arial;sans-serif" w:hAnsi="Arial;sans-serif"/>
          <w:b/>
          <w:color w:val="000000"/>
          <w:sz w:val="18"/>
        </w:rPr>
        <w:t>WORLD KINECT CORPORATION</w:t>
      </w:r>
    </w:p>
    <w:p>
      <w:pPr>
        <w:pStyle w:val="TextBody"/>
        <w:bidi w:val="0"/>
        <w:spacing w:lineRule="auto" w:line="288" w:before="0" w:after="120"/>
        <w:jc w:val="center"/>
        <w:rPr>
          <w:rFonts w:ascii="Arial;sans-serif" w:hAnsi="Arial;sans-serif"/>
          <w:b w:val="false"/>
          <w:color w:val="000000"/>
          <w:sz w:val="16"/>
        </w:rPr>
      </w:pPr>
      <w:r>
        <w:rPr>
          <w:rFonts w:ascii="Arial;sans-serif" w:hAnsi="Arial;sans-serif"/>
          <w:b w:val="false"/>
          <w:color w:val="000000"/>
          <w:sz w:val="16"/>
        </w:rPr>
        <w:t>(Exact name of registrant as specified in its charter)</w:t>
      </w:r>
    </w:p>
    <w:tbl>
      <w:tblPr>
        <w:tblW w:w="10205" w:type="dxa"/>
        <w:jc w:val="center"/>
        <w:tblInd w:w="0" w:type="dxa"/>
        <w:tblLayout w:type="fixed"/>
        <w:tblCellMar>
          <w:top w:w="28" w:type="dxa"/>
          <w:left w:w="28" w:type="dxa"/>
          <w:bottom w:w="28" w:type="dxa"/>
          <w:right w:w="28" w:type="dxa"/>
        </w:tblCellMar>
      </w:tblPr>
      <w:tblGrid>
        <w:gridCol w:w="940"/>
        <w:gridCol w:w="828"/>
        <w:gridCol w:w="836"/>
        <w:gridCol w:w="183"/>
        <w:gridCol w:w="183"/>
        <w:gridCol w:w="183"/>
        <w:gridCol w:w="183"/>
        <w:gridCol w:w="183"/>
        <w:gridCol w:w="183"/>
        <w:gridCol w:w="191"/>
        <w:gridCol w:w="188"/>
        <w:gridCol w:w="183"/>
        <w:gridCol w:w="183"/>
        <w:gridCol w:w="183"/>
        <w:gridCol w:w="183"/>
        <w:gridCol w:w="251"/>
        <w:gridCol w:w="251"/>
        <w:gridCol w:w="253"/>
        <w:gridCol w:w="265"/>
        <w:gridCol w:w="265"/>
        <w:gridCol w:w="266"/>
        <w:gridCol w:w="242"/>
        <w:gridCol w:w="242"/>
        <w:gridCol w:w="243"/>
        <w:gridCol w:w="909"/>
        <w:gridCol w:w="909"/>
        <w:gridCol w:w="1296"/>
      </w:tblGrid>
      <w:tr>
        <w:trPr/>
        <w:tc>
          <w:tcPr>
            <w:tcW w:w="940"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r>
      <w:tr>
        <w:trPr/>
        <w:tc>
          <w:tcPr>
            <w:tcW w:w="2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Florida</w:t>
            </w:r>
          </w:p>
        </w:tc>
        <w:tc>
          <w:tcPr>
            <w:tcW w:w="2209" w:type="dxa"/>
            <w:gridSpan w:val="1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9800 N.W. 41st Street,</w:t>
            </w:r>
          </w:p>
        </w:tc>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Miami,</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Florida</w:t>
            </w:r>
          </w:p>
        </w:tc>
        <w:tc>
          <w:tcPr>
            <w:tcW w:w="7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33178</w:t>
            </w:r>
          </w:p>
        </w:tc>
        <w:tc>
          <w:tcPr>
            <w:tcW w:w="3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59-2459427</w:t>
            </w:r>
          </w:p>
        </w:tc>
      </w:tr>
      <w:tr>
        <w:trPr/>
        <w:tc>
          <w:tcPr>
            <w:tcW w:w="2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(State or other jurisdiction of</w:t>
              <w:br/>
              <w:t>incorporation or organization)</w:t>
            </w:r>
          </w:p>
        </w:tc>
        <w:tc>
          <w:tcPr>
            <w:tcW w:w="4487"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(Address of Principal Executive Offices) (Zip Code)</w:t>
            </w:r>
          </w:p>
        </w:tc>
        <w:tc>
          <w:tcPr>
            <w:tcW w:w="3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(I.R.S. Employer</w:t>
              <w:br/>
              <w:t>Identification No.)</w:t>
            </w:r>
          </w:p>
        </w:tc>
      </w:tr>
      <w:tr>
        <w:trPr/>
        <w:tc>
          <w:tcPr>
            <w:tcW w:w="2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5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305</w:t>
            </w:r>
          </w:p>
        </w:tc>
        <w:tc>
          <w:tcPr>
            <w:tcW w:w="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227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428-8000</w:t>
            </w:r>
          </w:p>
        </w:tc>
        <w:tc>
          <w:tcPr>
            <w:tcW w:w="3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Registrant’s telephone number, including area code</w:t>
            </w:r>
          </w:p>
        </w:tc>
        <w:tc>
          <w:tcPr>
            <w:tcW w:w="3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c>
        <w:tc>
          <w:tcPr>
            <w:tcW w:w="3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u w:val="single"/>
              </w:rPr>
            </w:pPr>
            <w:r>
              <w:rPr>
                <w:rFonts w:ascii="Arial;sans-serif" w:hAnsi="Arial;sans-serif"/>
                <w:b w:val="false"/>
                <w:color w:val="000000"/>
                <w:sz w:val="16"/>
                <w:u w:val="single"/>
              </w:rPr>
              <w:t>Title of each class</w:t>
            </w:r>
          </w:p>
        </w:tc>
        <w:tc>
          <w:tcPr>
            <w:tcW w:w="448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u w:val="single"/>
              </w:rPr>
            </w:pPr>
            <w:r>
              <w:rPr>
                <w:rFonts w:ascii="Arial;sans-serif" w:hAnsi="Arial;sans-serif"/>
                <w:b w:val="false"/>
                <w:color w:val="000000"/>
                <w:sz w:val="16"/>
                <w:u w:val="single"/>
              </w:rPr>
              <w:t>Trading Symbol (s)</w:t>
            </w:r>
          </w:p>
        </w:tc>
        <w:tc>
          <w:tcPr>
            <w:tcW w:w="3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u w:val="single"/>
              </w:rPr>
            </w:pPr>
            <w:r>
              <w:rPr>
                <w:rFonts w:ascii="Arial;sans-serif" w:hAnsi="Arial;sans-serif"/>
                <w:b w:val="false"/>
                <w:color w:val="000000"/>
                <w:sz w:val="16"/>
                <w:u w:val="single"/>
              </w:rPr>
              <w:t>Name of each exchange on which registered</w:t>
            </w:r>
          </w:p>
        </w:tc>
      </w:tr>
      <w:tr>
        <w:trPr/>
        <w:tc>
          <w:tcPr>
            <w:tcW w:w="2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Common Stock, $0.01 par value</w:t>
            </w:r>
          </w:p>
        </w:tc>
        <w:tc>
          <w:tcPr>
            <w:tcW w:w="448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WKC</w:t>
            </w:r>
          </w:p>
        </w:tc>
        <w:tc>
          <w:tcPr>
            <w:tcW w:w="3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New York Stock Exchange</w:t>
            </w:r>
          </w:p>
        </w:tc>
      </w:tr>
    </w:tbl>
    <w:p>
      <w:pPr>
        <w:pStyle w:val="TextBody"/>
        <w:bidi w:val="0"/>
        <w:spacing w:lineRule="auto" w:line="288" w:before="180" w:after="180"/>
        <w:jc w:val="both"/>
        <w:rPr/>
      </w:pPr>
      <w:r>
        <w:rPr>
          <w:rFonts w:ascii="Arial;sans-serif" w:hAnsi="Arial;sans-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Arial;sans-serif" w:hAnsi="Arial;sans-serif"/>
          <w:b w:val="false"/>
          <w:color w:val="000000"/>
          <w:sz w:val="18"/>
        </w:rPr>
        <w:t xml:space="preserve">No </w:t>
      </w:r>
      <w:r>
        <w:rPr>
          <w:color w:val="000000"/>
        </w:rPr>
        <w:t>☐</w:t>
      </w:r>
    </w:p>
    <w:p>
      <w:pPr>
        <w:pStyle w:val="TextBody"/>
        <w:bidi w:val="0"/>
        <w:spacing w:lineRule="auto" w:line="288" w:before="180" w:after="180"/>
        <w:jc w:val="both"/>
        <w:rPr/>
      </w:pPr>
      <w:r>
        <w:rPr>
          <w:rFonts w:ascii="Arial;sans-serif" w:hAnsi="Arial;sans-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Arial;sans-serif" w:hAnsi="Arial;sans-serif"/>
          <w:b w:val="false"/>
          <w:color w:val="000000"/>
          <w:sz w:val="18"/>
        </w:rPr>
        <w:t xml:space="preserve">No </w:t>
      </w:r>
      <w:r>
        <w:rPr>
          <w:color w:val="000000"/>
        </w:rPr>
        <w:t>☐</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88" w:before="180" w:after="180"/>
        <w:jc w:val="both"/>
        <w:rPr/>
      </w:pPr>
      <w:r>
        <w:rPr>
          <w:color w:val="000000"/>
        </w:rPr>
        <w:t> </w:t>
      </w:r>
      <w:r>
        <w:rPr>
          <w:rFonts w:ascii="Arial;sans-serif" w:hAnsi="Arial;sans-serif"/>
          <w:b w:val="false"/>
          <w:color w:val="000000"/>
          <w:sz w:val="18"/>
        </w:rPr>
        <w:t xml:space="preserve">Large accelerated filer </w:t>
      </w:r>
      <w:r>
        <w:rPr>
          <w:color w:val="000000"/>
        </w:rPr>
        <w:t>☑   </w:t>
      </w:r>
      <w:r>
        <w:rPr>
          <w:rFonts w:ascii="Arial;sans-serif" w:hAnsi="Arial;sans-serif"/>
          <w:b w:val="false"/>
          <w:color w:val="000000"/>
          <w:sz w:val="18"/>
        </w:rPr>
        <w:t xml:space="preserve">Accelerated filer </w:t>
      </w:r>
      <w:r>
        <w:rPr>
          <w:color w:val="000000"/>
        </w:rPr>
        <w:t>☐   </w:t>
      </w:r>
      <w:r>
        <w:rPr>
          <w:rFonts w:ascii="Arial;sans-serif" w:hAnsi="Arial;sans-serif"/>
          <w:b w:val="false"/>
          <w:color w:val="000000"/>
          <w:sz w:val="18"/>
        </w:rPr>
        <w:t xml:space="preserve">Non-accelerated filer </w:t>
      </w:r>
      <w:r>
        <w:rPr>
          <w:color w:val="000000"/>
        </w:rPr>
        <w:t>☐   </w:t>
      </w:r>
      <w:r>
        <w:rPr>
          <w:rFonts w:ascii="Arial;sans-serif" w:hAnsi="Arial;sans-serif"/>
          <w:b w:val="false"/>
          <w:color w:val="000000"/>
          <w:sz w:val="18"/>
        </w:rPr>
        <w:t xml:space="preserve">Smaller reporting company </w:t>
      </w:r>
      <w:r>
        <w:rPr>
          <w:color w:val="000000"/>
        </w:rPr>
        <w:t xml:space="preserve">☐ </w:t>
      </w:r>
      <w:r>
        <w:rPr>
          <w:rFonts w:ascii="Arial;sans-serif" w:hAnsi="Arial;sans-serif"/>
          <w:b w:val="false"/>
          <w:color w:val="000000"/>
          <w:sz w:val="18"/>
        </w:rPr>
        <w:t xml:space="preserve">Emerging growth company </w:t>
      </w:r>
      <w:r>
        <w:rPr>
          <w:color w:val="000000"/>
        </w:rPr>
        <w:t xml:space="preserve">☐ </w:t>
      </w:r>
    </w:p>
    <w:p>
      <w:pPr>
        <w:pStyle w:val="TextBody"/>
        <w:bidi w:val="0"/>
        <w:spacing w:lineRule="auto" w:line="288" w:before="180" w:after="180"/>
        <w:jc w:val="both"/>
        <w:rPr/>
      </w:pPr>
      <w:r>
        <w:rPr>
          <w:rFonts w:ascii="Arial;sans-serif" w:hAnsi="Arial;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80" w:after="180"/>
        <w:jc w:val="both"/>
        <w:rPr/>
      </w:pPr>
      <w:r>
        <w:rPr>
          <w:rFonts w:ascii="Arial;sans-serif" w:hAnsi="Arial;sans-serif"/>
          <w:b w:val="false"/>
          <w:color w:val="000000"/>
          <w:sz w:val="18"/>
        </w:rPr>
        <w:t xml:space="preserve">Indicate by check mark whether the registrant is a shell company (as defined in Rule 12b-2 of the Exchange Act). Yes </w:t>
      </w:r>
      <w:r>
        <w:rPr>
          <w:color w:val="000000"/>
        </w:rPr>
        <w:t>☐   </w:t>
      </w:r>
      <w:r>
        <w:rPr>
          <w:rFonts w:ascii="Arial;sans-serif" w:hAnsi="Arial;sans-serif"/>
          <w:b w:val="false"/>
          <w:color w:val="000000"/>
          <w:sz w:val="18"/>
        </w:rPr>
        <w:t xml:space="preserve">No </w:t>
      </w:r>
      <w:r>
        <w:rPr>
          <w:color w:val="000000"/>
        </w:rPr>
        <w:t>☑</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The registrant had a total of 51,151,620 shares of common stock, par value $0.01 per share, issued and outstanding as of July 17,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both"/>
                        <w:rPr/>
                      </w:pPr>
                      <w:r>
                        <w:rPr/>
                      </w:r>
                    </w:p>
                  </w:txbxContent>
                </v:textbox>
                <w10:wrap type="none"/>
              </v:rect>
            </w:pict>
          </mc:Fallback>
        </mc:AlternateContent>
      </w:r>
    </w:p>
    <w:p>
      <w:pPr>
        <w:pStyle w:val="TextBody"/>
        <w:bidi w:val="0"/>
        <w:spacing w:before="0" w:after="120"/>
        <w:jc w:val="both"/>
        <w:rPr/>
      </w:pPr>
      <w:r>
        <w:rPr/>
      </w:r>
    </w:p>
    <w:p>
      <w:pPr>
        <w:pStyle w:val="TextBody"/>
        <w:bidi w:val="0"/>
        <w:spacing w:before="240" w:after="240"/>
        <w:jc w:val="left"/>
        <w:rPr/>
      </w:pPr>
      <w:r>
        <w:rPr/>
      </w:r>
    </w:p>
    <w:p>
      <w:pPr>
        <w:pStyle w:val="TextBody"/>
        <w:bidi w:val="0"/>
        <w:spacing w:lineRule="auto" w:line="288" w:before="0" w:after="120"/>
        <w:jc w:val="both"/>
        <w:rPr>
          <w:rFonts w:ascii="Arial;sans-serif" w:hAnsi="Arial;sans-serif"/>
          <w:b/>
          <w:color w:val="000000"/>
          <w:sz w:val="24"/>
        </w:rPr>
      </w:pPr>
      <w:r>
        <w:rPr>
          <w:rFonts w:ascii="Arial;sans-serif" w:hAnsi="Arial;sans-serif"/>
          <w:b/>
          <w:color w:val="000000"/>
          <w:sz w:val="24"/>
        </w:rPr>
        <w:t>TABLE OF CONTENTS</w:t>
      </w:r>
    </w:p>
    <w:p>
      <w:pPr>
        <w:pStyle w:val="TextBody"/>
        <w:bidi w:val="0"/>
        <w:spacing w:lineRule="auto" w:line="288" w:before="0" w:after="120"/>
        <w:jc w:val="center"/>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20"/>
        <w:gridCol w:w="282"/>
        <w:gridCol w:w="284"/>
        <w:gridCol w:w="3053"/>
        <w:gridCol w:w="2942"/>
        <w:gridCol w:w="2951"/>
        <w:gridCol w:w="109"/>
        <w:gridCol w:w="109"/>
        <w:gridCol w:w="155"/>
      </w:tblGrid>
      <w:tr>
        <w:trPr/>
        <w:tc>
          <w:tcPr>
            <w:tcW w:w="32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3053" w:type="dxa"/>
            <w:tcBorders/>
            <w:vAlign w:val="center"/>
          </w:tcPr>
          <w:p>
            <w:pPr>
              <w:pStyle w:val="TableContents"/>
              <w:bidi w:val="0"/>
              <w:spacing w:before="0" w:after="283"/>
              <w:jc w:val="left"/>
              <w:rPr>
                <w:sz w:val="4"/>
                <w:szCs w:val="4"/>
              </w:rPr>
            </w:pPr>
            <w:r>
              <w:rPr>
                <w:sz w:val="4"/>
                <w:szCs w:val="4"/>
              </w:rPr>
            </w:r>
          </w:p>
        </w:tc>
        <w:tc>
          <w:tcPr>
            <w:tcW w:w="2942" w:type="dxa"/>
            <w:tcBorders/>
            <w:vAlign w:val="center"/>
          </w:tcPr>
          <w:p>
            <w:pPr>
              <w:pStyle w:val="TableContents"/>
              <w:bidi w:val="0"/>
              <w:spacing w:before="0" w:after="283"/>
              <w:jc w:val="left"/>
              <w:rPr>
                <w:sz w:val="4"/>
                <w:szCs w:val="4"/>
              </w:rPr>
            </w:pPr>
            <w:r>
              <w:rPr>
                <w:sz w:val="4"/>
                <w:szCs w:val="4"/>
              </w:rPr>
            </w:r>
          </w:p>
        </w:tc>
        <w:tc>
          <w:tcPr>
            <w:tcW w:w="2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4de967eca47449bbb2adf23cfbe15984_16">
              <w:r>
                <w:rPr>
                  <w:rStyle w:val="InternetLink"/>
                  <w:rFonts w:ascii="Arial;sans-serif" w:hAnsi="Arial;sans-serif"/>
                  <w:b/>
                  <w:color w:val="0E32E1"/>
                  <w:sz w:val="20"/>
                  <w:u w:val="single"/>
                </w:rPr>
                <w:t>PART I.</w:t>
              </w:r>
            </w:hyperlink>
          </w:p>
        </w:tc>
        <w:tc>
          <w:tcPr>
            <w:tcW w:w="894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4de967eca47449bbb2adf23cfbe15984_16">
              <w:r>
                <w:rPr>
                  <w:rStyle w:val="InternetLink"/>
                  <w:rFonts w:ascii="Arial;sans-serif" w:hAnsi="Arial;sans-serif"/>
                  <w:b w:val="false"/>
                  <w:color w:val="0E32E1"/>
                  <w:sz w:val="20"/>
                  <w:u w:val="single"/>
                </w:rPr>
                <w:t>Financial Information</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4de967eca47449bbb2adf23cfbe15984_16">
              <w:r>
                <w:rPr>
                  <w:rStyle w:val="InternetLink"/>
                  <w:rFonts w:ascii="Arial;sans-serif" w:hAnsi="Arial;sans-serif"/>
                  <w:b w:val="false"/>
                  <w:color w:val="0E32E1"/>
                  <w:sz w:val="20"/>
                  <w:u w:val="single"/>
                </w:rPr>
                <w:t>Item 1.</w:t>
              </w:r>
            </w:hyperlink>
          </w:p>
        </w:tc>
        <w:tc>
          <w:tcPr>
            <w:tcW w:w="89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4de967eca47449bbb2adf23cfbe15984_16">
              <w:r>
                <w:rPr>
                  <w:rStyle w:val="InternetLink"/>
                  <w:rFonts w:ascii="Arial;sans-serif" w:hAnsi="Arial;sans-serif"/>
                  <w:b w:val="false"/>
                  <w:color w:val="0E32E1"/>
                  <w:sz w:val="20"/>
                  <w:u w:val="single"/>
                </w:rPr>
                <w:t>Financial Statements (Unaudited)</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Arial;sans-serif" w:hAnsi="Arial;sans-serif"/>
                <w:b w:val="false"/>
                <w:color w:val="0E32E1"/>
                <w:sz w:val="20"/>
                <w:u w:val="single"/>
              </w:rPr>
              <w:t xml:space="preserve">Condensed </w:t>
            </w:r>
            <w:hyperlink w:anchor="i4de967eca47449bbb2adf23cfbe15984_16">
              <w:r>
                <w:rPr>
                  <w:rStyle w:val="InternetLink"/>
                  <w:rFonts w:ascii="Arial;sans-serif" w:hAnsi="Arial;sans-serif"/>
                  <w:b w:val="false"/>
                  <w:color w:val="000080"/>
                  <w:sz w:val="20"/>
                  <w:u w:val="single"/>
                </w:rPr>
                <w:t xml:space="preserve">Consolidated Balance Sheets as of </w:t>
              </w:r>
            </w:hyperlink>
            <w:r>
              <w:rPr>
                <w:rFonts w:ascii="Arial;sans-serif" w:hAnsi="Arial;sans-serif"/>
                <w:b w:val="false"/>
                <w:color w:val="0E32E1"/>
                <w:sz w:val="20"/>
                <w:u w:val="single"/>
              </w:rPr>
              <w:t>June 30, 2026</w:t>
            </w:r>
            <w:hyperlink w:anchor="i4de967eca47449bbb2adf23cfbe15984_16">
              <w:r>
                <w:rPr>
                  <w:rStyle w:val="InternetLink"/>
                  <w:rFonts w:ascii="Arial;sans-serif" w:hAnsi="Arial;sans-serif"/>
                  <w:b w:val="false"/>
                  <w:color w:val="000080"/>
                  <w:sz w:val="20"/>
                  <w:u w:val="single"/>
                </w:rPr>
                <w:t xml:space="preserve"> and </w:t>
              </w:r>
            </w:hyperlink>
            <w:r>
              <w:rPr>
                <w:rFonts w:ascii="Arial;sans-serif" w:hAnsi="Arial;sans-serif"/>
                <w:b w:val="false"/>
                <w:color w:val="0E32E1"/>
                <w:sz w:val="20"/>
                <w:u w:val="single"/>
              </w:rPr>
              <w:t>December 31, 2025</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de967eca47449bbb2adf23cfbe15984_16">
              <w:r>
                <w:rPr>
                  <w:rStyle w:val="InternetLink"/>
                  <w:rFonts w:ascii="Arial;sans-serif" w:hAnsi="Arial;sans-serif"/>
                  <w:b w:val="false"/>
                  <w:color w:val="0E32E1"/>
                  <w:sz w:val="20"/>
                  <w:u w:val="single"/>
                </w:rPr>
                <w:t>1</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Arial;sans-serif" w:hAnsi="Arial;sans-serif"/>
                <w:b w:val="false"/>
                <w:color w:val="0E32E1"/>
                <w:sz w:val="20"/>
                <w:u w:val="single"/>
              </w:rPr>
              <w:t xml:space="preserve">Condensed </w:t>
            </w:r>
            <w:hyperlink w:anchor="i4de967eca47449bbb2adf23cfbe15984_19">
              <w:r>
                <w:rPr>
                  <w:rStyle w:val="InternetLink"/>
                  <w:rFonts w:ascii="Arial;sans-serif" w:hAnsi="Arial;sans-serif"/>
                  <w:b w:val="false"/>
                  <w:color w:val="000080"/>
                  <w:sz w:val="20"/>
                  <w:u w:val="single"/>
                </w:rPr>
                <w:t xml:space="preserve">Consolidated Statements of Income and Comprehensive Income for the </w:t>
              </w:r>
            </w:hyperlink>
            <w:r>
              <w:rPr>
                <w:rFonts w:ascii="Arial;sans-serif" w:hAnsi="Arial;sans-serif"/>
                <w:b w:val="false"/>
                <w:color w:val="0E32E1"/>
                <w:sz w:val="20"/>
                <w:u w:val="single"/>
              </w:rPr>
              <w:t>Three and Six</w:t>
            </w:r>
            <w:hyperlink w:anchor="i4de967eca47449bbb2adf23cfbe15984_19">
              <w:r>
                <w:rPr>
                  <w:rStyle w:val="InternetLink"/>
                  <w:rFonts w:ascii="Arial;sans-serif" w:hAnsi="Arial;sans-serif"/>
                  <w:b w:val="false"/>
                  <w:color w:val="000080"/>
                  <w:sz w:val="20"/>
                  <w:u w:val="single"/>
                </w:rPr>
                <w:t xml:space="preserve"> Months Ended </w:t>
              </w:r>
            </w:hyperlink>
            <w:r>
              <w:rPr>
                <w:rFonts w:ascii="Arial;sans-serif" w:hAnsi="Arial;sans-serif"/>
                <w:b w:val="false"/>
                <w:color w:val="0E32E1"/>
                <w:sz w:val="20"/>
                <w:u w:val="single"/>
              </w:rPr>
              <w:t>June 30, 2026</w:t>
            </w:r>
            <w:hyperlink w:anchor="i4de967eca47449bbb2adf23cfbe15984_19">
              <w:r>
                <w:rPr>
                  <w:rStyle w:val="InternetLink"/>
                  <w:rFonts w:ascii="Arial;sans-serif" w:hAnsi="Arial;sans-serif"/>
                  <w:b w:val="false"/>
                  <w:color w:val="000080"/>
                  <w:sz w:val="20"/>
                  <w:u w:val="single"/>
                </w:rPr>
                <w:t xml:space="preserve"> and </w:t>
              </w:r>
            </w:hyperlink>
            <w:r>
              <w:rPr>
                <w:rFonts w:ascii="Arial;sans-serif" w:hAnsi="Arial;sans-serif"/>
                <w:b w:val="false"/>
                <w:color w:val="0E32E1"/>
                <w:sz w:val="20"/>
                <w:u w:val="single"/>
              </w:rPr>
              <w:t>2025</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de967eca47449bbb2adf23cfbe15984_19">
              <w:r>
                <w:rPr>
                  <w:rStyle w:val="InternetLink"/>
                  <w:rFonts w:ascii="Arial;sans-serif" w:hAnsi="Arial;sans-serif"/>
                  <w:b w:val="false"/>
                  <w:color w:val="0E32E1"/>
                  <w:sz w:val="20"/>
                  <w:u w:val="single"/>
                </w:rPr>
                <w:t>2</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Arial;sans-serif" w:hAnsi="Arial;sans-serif"/>
                <w:b w:val="false"/>
                <w:color w:val="0E32E1"/>
                <w:sz w:val="20"/>
                <w:u w:val="single"/>
              </w:rPr>
              <w:t xml:space="preserve">Condensed </w:t>
            </w:r>
            <w:hyperlink w:anchor="i4de967eca47449bbb2adf23cfbe15984_22">
              <w:r>
                <w:rPr>
                  <w:rStyle w:val="InternetLink"/>
                  <w:rFonts w:ascii="Arial;sans-serif" w:hAnsi="Arial;sans-serif"/>
                  <w:b w:val="false"/>
                  <w:color w:val="000080"/>
                  <w:sz w:val="20"/>
                  <w:u w:val="single"/>
                </w:rPr>
                <w:t xml:space="preserve">Consolidated Statements of Shareholders' Equity for the </w:t>
              </w:r>
            </w:hyperlink>
            <w:r>
              <w:rPr>
                <w:rFonts w:ascii="Arial;sans-serif" w:hAnsi="Arial;sans-serif"/>
                <w:b w:val="false"/>
                <w:color w:val="0E32E1"/>
                <w:sz w:val="20"/>
                <w:u w:val="single"/>
              </w:rPr>
              <w:t>Three and Six</w:t>
            </w:r>
            <w:hyperlink w:anchor="i4de967eca47449bbb2adf23cfbe15984_22">
              <w:r>
                <w:rPr>
                  <w:rStyle w:val="InternetLink"/>
                  <w:rFonts w:ascii="Arial;sans-serif" w:hAnsi="Arial;sans-serif"/>
                  <w:b w:val="false"/>
                  <w:color w:val="000080"/>
                  <w:sz w:val="20"/>
                  <w:u w:val="single"/>
                </w:rPr>
                <w:t xml:space="preserve"> Months Ended </w:t>
              </w:r>
            </w:hyperlink>
            <w:r>
              <w:rPr>
                <w:rFonts w:ascii="Arial;sans-serif" w:hAnsi="Arial;sans-serif"/>
                <w:b w:val="false"/>
                <w:color w:val="0E32E1"/>
                <w:sz w:val="20"/>
                <w:u w:val="single"/>
              </w:rPr>
              <w:t>June 30, 2026</w:t>
            </w:r>
            <w:hyperlink w:anchor="i4de967eca47449bbb2adf23cfbe15984_22">
              <w:r>
                <w:rPr>
                  <w:rStyle w:val="InternetLink"/>
                  <w:rFonts w:ascii="Arial;sans-serif" w:hAnsi="Arial;sans-serif"/>
                  <w:b w:val="false"/>
                  <w:color w:val="000080"/>
                  <w:sz w:val="20"/>
                  <w:u w:val="single"/>
                </w:rPr>
                <w:t xml:space="preserve"> and </w:t>
              </w:r>
            </w:hyperlink>
            <w:r>
              <w:rPr>
                <w:rFonts w:ascii="Arial;sans-serif" w:hAnsi="Arial;sans-serif"/>
                <w:b w:val="false"/>
                <w:color w:val="0E32E1"/>
                <w:sz w:val="20"/>
                <w:u w:val="single"/>
              </w:rPr>
              <w:t>2025</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de967eca47449bbb2adf23cfbe15984_22">
              <w:r>
                <w:rPr>
                  <w:rStyle w:val="InternetLink"/>
                  <w:rFonts w:ascii="Arial;sans-serif" w:hAnsi="Arial;sans-serif"/>
                  <w:b w:val="false"/>
                  <w:color w:val="0E32E1"/>
                  <w:sz w:val="20"/>
                  <w:u w:val="single"/>
                </w:rPr>
                <w:t>3</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Arial;sans-serif" w:hAnsi="Arial;sans-serif"/>
                <w:b w:val="false"/>
                <w:color w:val="0E32E1"/>
                <w:sz w:val="20"/>
                <w:u w:val="single"/>
              </w:rPr>
              <w:t xml:space="preserve">Condensed </w:t>
            </w:r>
            <w:hyperlink w:anchor="i4de967eca47449bbb2adf23cfbe15984_25">
              <w:r>
                <w:rPr>
                  <w:rStyle w:val="InternetLink"/>
                  <w:rFonts w:ascii="Arial;sans-serif" w:hAnsi="Arial;sans-serif"/>
                  <w:b w:val="false"/>
                  <w:color w:val="000080"/>
                  <w:sz w:val="20"/>
                  <w:u w:val="single"/>
                </w:rPr>
                <w:t xml:space="preserve">Consolidated Statements of Cash Flows for the </w:t>
              </w:r>
            </w:hyperlink>
            <w:r>
              <w:rPr>
                <w:rFonts w:ascii="Arial;sans-serif" w:hAnsi="Arial;sans-serif"/>
                <w:b w:val="false"/>
                <w:color w:val="0E32E1"/>
                <w:sz w:val="20"/>
                <w:u w:val="single"/>
              </w:rPr>
              <w:t>Six Months Ended</w:t>
            </w:r>
            <w:hyperlink w:anchor="i4de967eca47449bbb2adf23cfbe15984_25">
              <w:r>
                <w:rPr>
                  <w:rStyle w:val="InternetLink"/>
                  <w:rFonts w:ascii="Arial;sans-serif" w:hAnsi="Arial;sans-serif"/>
                  <w:b w:val="false"/>
                  <w:color w:val="000080"/>
                  <w:sz w:val="20"/>
                  <w:u w:val="single"/>
                </w:rPr>
                <w:t xml:space="preserve"> </w:t>
              </w:r>
            </w:hyperlink>
            <w:r>
              <w:rPr>
                <w:rFonts w:ascii="Arial;sans-serif" w:hAnsi="Arial;sans-serif"/>
                <w:b w:val="false"/>
                <w:color w:val="0E32E1"/>
                <w:sz w:val="20"/>
                <w:u w:val="single"/>
              </w:rPr>
              <w:t>June 30, 2026</w:t>
            </w:r>
            <w:hyperlink w:anchor="i4de967eca47449bbb2adf23cfbe15984_25">
              <w:r>
                <w:rPr>
                  <w:rStyle w:val="InternetLink"/>
                  <w:rFonts w:ascii="Arial;sans-serif" w:hAnsi="Arial;sans-serif"/>
                  <w:b w:val="false"/>
                  <w:color w:val="000080"/>
                  <w:sz w:val="20"/>
                  <w:u w:val="single"/>
                </w:rPr>
                <w:t xml:space="preserve"> and </w:t>
              </w:r>
            </w:hyperlink>
            <w:r>
              <w:rPr>
                <w:rFonts w:ascii="Arial;sans-serif" w:hAnsi="Arial;sans-serif"/>
                <w:b w:val="false"/>
                <w:color w:val="0E32E1"/>
                <w:sz w:val="20"/>
                <w:u w:val="single"/>
              </w:rPr>
              <w:t>2025</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de967eca47449bbb2adf23cfbe15984_25">
              <w:r>
                <w:rPr>
                  <w:rStyle w:val="InternetLink"/>
                  <w:rFonts w:ascii="Arial;sans-serif" w:hAnsi="Arial;sans-serif"/>
                  <w:b w:val="false"/>
                  <w:color w:val="0E32E1"/>
                  <w:sz w:val="20"/>
                  <w:u w:val="single"/>
                </w:rPr>
                <w:t>5</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4de967eca47449bbb2adf23cfbe15984_31">
              <w:r>
                <w:rPr>
                  <w:rStyle w:val="InternetLink"/>
                  <w:rFonts w:ascii="Arial;sans-serif" w:hAnsi="Arial;sans-serif"/>
                  <w:b w:val="false"/>
                  <w:color w:val="0E32E1"/>
                  <w:sz w:val="20"/>
                  <w:u w:val="single"/>
                </w:rPr>
                <w:t>Notes to the Condensed Consolidated Financial Statements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de967eca47449bbb2adf23cfbe15984_31">
              <w:r>
                <w:rPr>
                  <w:rStyle w:val="InternetLink"/>
                  <w:rFonts w:ascii="Arial;sans-serif" w:hAnsi="Arial;sans-serif"/>
                  <w:b w:val="false"/>
                  <w:color w:val="0E32E1"/>
                  <w:sz w:val="20"/>
                  <w:u w:val="single"/>
                </w:rPr>
                <w:t>6</w:t>
              </w:r>
            </w:hyperlink>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4de967eca47449bbb2adf23cfbe15984_166">
              <w:r>
                <w:rPr>
                  <w:rStyle w:val="InternetLink"/>
                  <w:rFonts w:ascii="Arial;sans-serif" w:hAnsi="Arial;sans-serif"/>
                  <w:b w:val="false"/>
                  <w:color w:val="0E32E1"/>
                  <w:sz w:val="20"/>
                  <w:u w:val="single"/>
                </w:rPr>
                <w:t>Item 2.</w:t>
              </w:r>
            </w:hyperlink>
          </w:p>
        </w:tc>
        <w:tc>
          <w:tcPr>
            <w:tcW w:w="894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4de967eca47449bbb2adf23cfbe15984_166">
              <w:r>
                <w:rPr>
                  <w:rStyle w:val="InternetLink"/>
                  <w:rFonts w:ascii="Arial;sans-serif" w:hAnsi="Arial;sans-serif"/>
                  <w:b w:val="false"/>
                  <w:color w:val="000080"/>
                  <w:sz w:val="20"/>
                  <w:u w:val="single"/>
                </w:rPr>
                <w:t>Management</w:t>
              </w:r>
            </w:hyperlink>
            <w:r>
              <w:rPr>
                <w:rFonts w:ascii="Arial;sans-serif" w:hAnsi="Arial;sans-serif"/>
                <w:b w:val="false"/>
                <w:color w:val="0E32E1"/>
                <w:sz w:val="20"/>
                <w:u w:val="single"/>
              </w:rPr>
              <w:t>'</w:t>
            </w:r>
            <w:hyperlink w:anchor="i4de967eca47449bbb2adf23cfbe15984_166">
              <w:r>
                <w:rPr>
                  <w:rStyle w:val="InternetLink"/>
                  <w:rFonts w:ascii="Arial;sans-serif" w:hAnsi="Arial;sans-serif"/>
                  <w:b w:val="false"/>
                  <w:color w:val="000080"/>
                  <w:sz w:val="20"/>
                  <w:u w:val="single"/>
                </w:rPr>
                <w:t>s Discussion and Analysis of Financial Condition and Results of Operations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de967eca47449bbb2adf23cfbe15984_166">
              <w:r>
                <w:rPr>
                  <w:rStyle w:val="InternetLink"/>
                  <w:rFonts w:ascii="Arial;sans-serif" w:hAnsi="Arial;sans-serif"/>
                  <w:b w:val="false"/>
                  <w:color w:val="0E32E1"/>
                  <w:sz w:val="20"/>
                  <w:u w:val="single"/>
                </w:rPr>
                <w:t>27</w:t>
              </w:r>
            </w:hyperlink>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4de967eca47449bbb2adf23cfbe15984_232">
              <w:r>
                <w:rPr>
                  <w:rStyle w:val="InternetLink"/>
                  <w:rFonts w:ascii="Arial;sans-serif" w:hAnsi="Arial;sans-serif"/>
                  <w:b w:val="false"/>
                  <w:color w:val="0E32E1"/>
                  <w:sz w:val="20"/>
                  <w:u w:val="single"/>
                </w:rPr>
                <w:t>Item 3.</w:t>
              </w:r>
            </w:hyperlink>
          </w:p>
        </w:tc>
        <w:tc>
          <w:tcPr>
            <w:tcW w:w="894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4de967eca47449bbb2adf23cfbe15984_232">
              <w:r>
                <w:rPr>
                  <w:rStyle w:val="InternetLink"/>
                  <w:rFonts w:ascii="Arial;sans-serif" w:hAnsi="Arial;sans-serif"/>
                  <w:b w:val="false"/>
                  <w:color w:val="0E32E1"/>
                  <w:sz w:val="20"/>
                  <w:u w:val="single"/>
                </w:rPr>
                <w:t>Quantitative and Qualitative Disclosures About Market Risk</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de967eca47449bbb2adf23cfbe15984_232">
              <w:r>
                <w:rPr>
                  <w:rStyle w:val="InternetLink"/>
                  <w:rFonts w:ascii="Arial;sans-serif" w:hAnsi="Arial;sans-serif"/>
                  <w:b w:val="false"/>
                  <w:color w:val="0E32E1"/>
                  <w:sz w:val="20"/>
                  <w:u w:val="single"/>
                </w:rPr>
                <w:t>41</w:t>
              </w:r>
            </w:hyperlink>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4de967eca47449bbb2adf23cfbe15984_235">
              <w:r>
                <w:rPr>
                  <w:rStyle w:val="InternetLink"/>
                  <w:rFonts w:ascii="Arial;sans-serif" w:hAnsi="Arial;sans-serif"/>
                  <w:b w:val="false"/>
                  <w:color w:val="0E32E1"/>
                  <w:sz w:val="20"/>
                  <w:u w:val="single"/>
                </w:rPr>
                <w:t>Item 4.</w:t>
              </w:r>
            </w:hyperlink>
          </w:p>
        </w:tc>
        <w:tc>
          <w:tcPr>
            <w:tcW w:w="894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4de967eca47449bbb2adf23cfbe15984_235">
              <w:r>
                <w:rPr>
                  <w:rStyle w:val="InternetLink"/>
                  <w:rFonts w:ascii="Arial;sans-serif" w:hAnsi="Arial;sans-serif"/>
                  <w:b w:val="false"/>
                  <w:color w:val="0E32E1"/>
                  <w:sz w:val="20"/>
                  <w:u w:val="single"/>
                </w:rPr>
                <w:t>Controls and Procedures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de967eca47449bbb2adf23cfbe15984_235">
              <w:r>
                <w:rPr>
                  <w:rStyle w:val="InternetLink"/>
                  <w:rFonts w:ascii="Arial;sans-serif" w:hAnsi="Arial;sans-serif"/>
                  <w:b w:val="false"/>
                  <w:color w:val="0E32E1"/>
                  <w:sz w:val="20"/>
                  <w:u w:val="single"/>
                </w:rPr>
                <w:t>41</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4de967eca47449bbb2adf23cfbe15984_238">
              <w:r>
                <w:rPr>
                  <w:rStyle w:val="InternetLink"/>
                  <w:rFonts w:ascii="Arial;sans-serif" w:hAnsi="Arial;sans-serif"/>
                  <w:b/>
                  <w:color w:val="0E32E1"/>
                  <w:sz w:val="20"/>
                  <w:u w:val="single"/>
                </w:rPr>
                <w:t>PART II.</w:t>
              </w:r>
            </w:hyperlink>
          </w:p>
        </w:tc>
        <w:tc>
          <w:tcPr>
            <w:tcW w:w="894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4de967eca47449bbb2adf23cfbe15984_238">
              <w:r>
                <w:rPr>
                  <w:rStyle w:val="InternetLink"/>
                  <w:rFonts w:ascii="Arial;sans-serif" w:hAnsi="Arial;sans-serif"/>
                  <w:b w:val="false"/>
                  <w:color w:val="0E32E1"/>
                  <w:sz w:val="20"/>
                  <w:u w:val="single"/>
                </w:rPr>
                <w:t>Other Information</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4de967eca47449bbb2adf23cfbe15984_241">
              <w:r>
                <w:rPr>
                  <w:rStyle w:val="InternetLink"/>
                  <w:rFonts w:ascii="Arial;sans-serif" w:hAnsi="Arial;sans-serif"/>
                  <w:b w:val="false"/>
                  <w:color w:val="0E32E1"/>
                  <w:sz w:val="20"/>
                  <w:u w:val="single"/>
                </w:rPr>
                <w:t>Item 1.</w:t>
              </w:r>
            </w:hyperlink>
          </w:p>
        </w:tc>
        <w:tc>
          <w:tcPr>
            <w:tcW w:w="894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4de967eca47449bbb2adf23cfbe15984_241">
              <w:r>
                <w:rPr>
                  <w:rStyle w:val="InternetLink"/>
                  <w:rFonts w:ascii="Arial;sans-serif" w:hAnsi="Arial;sans-serif"/>
                  <w:b w:val="false"/>
                  <w:color w:val="0E32E1"/>
                  <w:sz w:val="20"/>
                  <w:u w:val="single"/>
                </w:rPr>
                <w:t>Legal Proceedings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de967eca47449bbb2adf23cfbe15984_241">
              <w:r>
                <w:rPr>
                  <w:rStyle w:val="InternetLink"/>
                  <w:rFonts w:ascii="Arial;sans-serif" w:hAnsi="Arial;sans-serif"/>
                  <w:b w:val="false"/>
                  <w:color w:val="0E32E1"/>
                  <w:sz w:val="20"/>
                  <w:u w:val="single"/>
                </w:rPr>
                <w:t>42</w:t>
              </w:r>
            </w:hyperlink>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8946"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8946"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4de967eca47449bbb2adf23cfbe15984_247">
              <w:r>
                <w:rPr>
                  <w:rStyle w:val="InternetLink"/>
                  <w:rFonts w:ascii="Arial;sans-serif" w:hAnsi="Arial;sans-serif"/>
                  <w:b w:val="false"/>
                  <w:color w:val="0E32E1"/>
                  <w:sz w:val="20"/>
                  <w:u w:val="single"/>
                </w:rPr>
                <w:t>Item 2.</w:t>
              </w:r>
            </w:hyperlink>
          </w:p>
        </w:tc>
        <w:tc>
          <w:tcPr>
            <w:tcW w:w="894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4de967eca47449bbb2adf23cfbe15984_247">
              <w:r>
                <w:rPr>
                  <w:rStyle w:val="InternetLink"/>
                  <w:rFonts w:ascii="Arial;sans-serif" w:hAnsi="Arial;sans-serif"/>
                  <w:b w:val="false"/>
                  <w:color w:val="0E32E1"/>
                  <w:sz w:val="20"/>
                  <w:u w:val="single"/>
                </w:rPr>
                <w:t>Unregistered Sales of Equity Securities and Use of Proceeds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de967eca47449bbb2adf23cfbe15984_247">
              <w:r>
                <w:rPr>
                  <w:rStyle w:val="InternetLink"/>
                  <w:rFonts w:ascii="Arial;sans-serif" w:hAnsi="Arial;sans-serif"/>
                  <w:b w:val="false"/>
                  <w:color w:val="0E32E1"/>
                  <w:sz w:val="20"/>
                  <w:u w:val="single"/>
                </w:rPr>
                <w:t>42</w:t>
              </w:r>
            </w:hyperlink>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4de967eca47449bbb2adf23cfbe15984_256">
              <w:r>
                <w:rPr>
                  <w:rStyle w:val="InternetLink"/>
                  <w:rFonts w:ascii="Arial;sans-serif" w:hAnsi="Arial;sans-serif"/>
                  <w:b w:val="false"/>
                  <w:color w:val="0E32E1"/>
                  <w:sz w:val="20"/>
                  <w:u w:val="single"/>
                </w:rPr>
                <w:t>Item 5.</w:t>
              </w:r>
            </w:hyperlink>
          </w:p>
        </w:tc>
        <w:tc>
          <w:tcPr>
            <w:tcW w:w="894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4de967eca47449bbb2adf23cfbe15984_256">
              <w:r>
                <w:rPr>
                  <w:rStyle w:val="InternetLink"/>
                  <w:rFonts w:ascii="Arial;sans-serif" w:hAnsi="Arial;sans-serif"/>
                  <w:b w:val="false"/>
                  <w:color w:val="0E32E1"/>
                  <w:sz w:val="20"/>
                  <w:u w:val="single"/>
                </w:rPr>
                <w:t>Other Information</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de967eca47449bbb2adf23cfbe15984_256">
              <w:r>
                <w:rPr>
                  <w:rStyle w:val="InternetLink"/>
                  <w:rFonts w:ascii="Arial;sans-serif" w:hAnsi="Arial;sans-serif"/>
                  <w:b w:val="false"/>
                  <w:color w:val="0E32E1"/>
                  <w:sz w:val="20"/>
                  <w:u w:val="single"/>
                </w:rPr>
                <w:t>43</w:t>
              </w:r>
            </w:hyperlink>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4de967eca47449bbb2adf23cfbe15984_262">
              <w:r>
                <w:rPr>
                  <w:rStyle w:val="InternetLink"/>
                  <w:rFonts w:ascii="Arial;sans-serif" w:hAnsi="Arial;sans-serif"/>
                  <w:b w:val="false"/>
                  <w:color w:val="0E32E1"/>
                  <w:sz w:val="20"/>
                  <w:u w:val="single"/>
                </w:rPr>
                <w:t>Item 6.</w:t>
              </w:r>
            </w:hyperlink>
          </w:p>
        </w:tc>
        <w:tc>
          <w:tcPr>
            <w:tcW w:w="894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4de967eca47449bbb2adf23cfbe15984_262">
              <w:r>
                <w:rPr>
                  <w:rStyle w:val="InternetLink"/>
                  <w:rFonts w:ascii="Arial;sans-serif" w:hAnsi="Arial;sans-serif"/>
                  <w:b w:val="false"/>
                  <w:color w:val="0E32E1"/>
                  <w:sz w:val="20"/>
                  <w:u w:val="single"/>
                </w:rPr>
                <w:t>Exhibits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de967eca47449bbb2adf23cfbe15984_262">
              <w:r>
                <w:rPr>
                  <w:rStyle w:val="InternetLink"/>
                  <w:rFonts w:ascii="Arial;sans-serif" w:hAnsi="Arial;sans-serif"/>
                  <w:b w:val="false"/>
                  <w:color w:val="0E32E1"/>
                  <w:sz w:val="20"/>
                  <w:u w:val="single"/>
                </w:rPr>
                <w:t>43</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2"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0E32E1"/>
                <w:sz w:val="20"/>
                <w:u w:val="single"/>
              </w:rPr>
            </w:pPr>
            <w:r>
              <w:rPr>
                <w:rFonts w:ascii="Arial;sans-serif" w:hAnsi="Arial;sans-serif"/>
                <w:b/>
                <w:color w:val="0E32E1"/>
                <w:sz w:val="20"/>
                <w:u w:val="single"/>
              </w:rPr>
              <w:t>SIGNATURES</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both"/>
                        <w:rPr/>
                      </w:pPr>
                      <w:r>
                        <w:rPr/>
                      </w:r>
                    </w:p>
                  </w:txbxContent>
                </v:textbox>
                <w10:wrap type="none"/>
              </v:rect>
            </w:pict>
          </mc:Fallback>
        </mc:AlternateContent>
      </w:r>
    </w:p>
    <w:p>
      <w:pPr>
        <w:pStyle w:val="TextBody"/>
        <w:bidi w:val="0"/>
        <w:spacing w:before="0" w:after="120"/>
        <w:jc w:val="both"/>
        <w:rPr/>
      </w:pPr>
      <w:r>
        <w:rPr/>
      </w:r>
    </w:p>
    <w:p>
      <w:pPr>
        <w:pStyle w:val="TextBody"/>
        <w:bidi w:val="0"/>
        <w:spacing w:before="240" w:after="240"/>
        <w:jc w:val="left"/>
        <w:rPr/>
      </w:pPr>
      <w:r>
        <w:rPr/>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pPr>
      <w:r>
        <w:rPr>
          <w:rFonts w:ascii="Arial;sans-serif" w:hAnsi="Arial;sans-serif"/>
          <w:b/>
          <w:color w:val="000000"/>
          <w:sz w:val="20"/>
        </w:rPr>
        <w:t>Item 1.     Financial Statements</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WORLD KINECT CORPORATION</w:t>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CONDENSED CONSOLIDATED BALANCE SHEETS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(Unaudited - In millions, except per share data) </w:t>
      </w:r>
    </w:p>
    <w:tbl>
      <w:tblPr>
        <w:tblW w:w="10205" w:type="dxa"/>
        <w:jc w:val="left"/>
        <w:tblInd w:w="0" w:type="dxa"/>
        <w:tblLayout w:type="fixed"/>
        <w:tblCellMar>
          <w:top w:w="28" w:type="dxa"/>
          <w:left w:w="28" w:type="dxa"/>
          <w:bottom w:w="28" w:type="dxa"/>
          <w:right w:w="28" w:type="dxa"/>
        </w:tblCellMar>
      </w:tblPr>
      <w:tblGrid>
        <w:gridCol w:w="2581"/>
        <w:gridCol w:w="2044"/>
        <w:gridCol w:w="1995"/>
        <w:gridCol w:w="109"/>
        <w:gridCol w:w="109"/>
        <w:gridCol w:w="109"/>
        <w:gridCol w:w="229"/>
        <w:gridCol w:w="882"/>
        <w:gridCol w:w="118"/>
        <w:gridCol w:w="109"/>
        <w:gridCol w:w="109"/>
        <w:gridCol w:w="109"/>
        <w:gridCol w:w="267"/>
        <w:gridCol w:w="1029"/>
        <w:gridCol w:w="138"/>
        <w:gridCol w:w="109"/>
        <w:gridCol w:w="159"/>
      </w:tblGrid>
      <w:tr>
        <w:trPr/>
        <w:tc>
          <w:tcPr>
            <w:tcW w:w="2581" w:type="dxa"/>
            <w:tcBorders/>
            <w:vAlign w:val="center"/>
          </w:tcPr>
          <w:p>
            <w:pPr>
              <w:pStyle w:val="TableContents"/>
              <w:bidi w:val="0"/>
              <w:spacing w:before="0" w:after="283"/>
              <w:jc w:val="left"/>
              <w:rPr>
                <w:sz w:val="4"/>
                <w:szCs w:val="4"/>
              </w:rPr>
            </w:pPr>
            <w:r>
              <w:rPr>
                <w:sz w:val="4"/>
                <w:szCs w:val="4"/>
              </w:rPr>
            </w:r>
          </w:p>
        </w:tc>
        <w:tc>
          <w:tcPr>
            <w:tcW w:w="2044" w:type="dxa"/>
            <w:tcBorders/>
            <w:vAlign w:val="center"/>
          </w:tcPr>
          <w:p>
            <w:pPr>
              <w:pStyle w:val="TableContents"/>
              <w:bidi w:val="0"/>
              <w:spacing w:before="0" w:after="283"/>
              <w:jc w:val="left"/>
              <w:rPr>
                <w:sz w:val="4"/>
                <w:szCs w:val="4"/>
              </w:rPr>
            </w:pPr>
            <w:r>
              <w:rPr>
                <w:sz w:val="4"/>
                <w:szCs w:val="4"/>
              </w:rPr>
            </w:r>
          </w:p>
        </w:tc>
        <w:tc>
          <w:tcPr>
            <w:tcW w:w="19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Accounts receivable, net of allowance for credit losses of $48.6 million and $15.6 million as of June 30, 2026 and December 31,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2,942.2 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2,208.5 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579.3 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454.2 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derivative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403.1 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457.2 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4,216.0 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3,500.5 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348.4 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739.7 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737.5 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Identifiable 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997.2 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965.9 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6,598.9 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5,863.9 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maturities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3,252.1 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2,586.9 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derivative liabilities,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658.9 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3,985.2 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3,310.4 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736.6 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685.2 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560.4 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5,331.8 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4,556.1 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Commitments and contingencies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World Kinect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Preferred stock, $1.00 par value; 0.1 shares authorized, none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Common stock, $0.01 par value; 100.0 shares authorized, 51.2 and 54.1 issued and outstanding as of June 30, 2026 and December 31,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in excess of par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1,289.8 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1,315.9 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World Kinect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1,257.6 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1,299.1 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1,267.1 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1,307.9 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6,598.9 </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5,863.9 </w:t>
            </w:r>
          </w:p>
        </w:tc>
        <w:tc>
          <w:tcPr>
            <w:tcW w:w="1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61950"/>
                <wp:effectExtent l="0" t="0" r="0" b="0"/>
                <wp:wrapNone/>
                <wp:docPr id="3" name="Frame3"/>
                <a:graphic xmlns:a="http://schemas.openxmlformats.org/drawingml/2006/main">
                  <a:graphicData uri="http://schemas.microsoft.com/office/word/2010/wordprocessingShape">
                    <wps:wsp>
                      <wps:cNvSpPr txBox="1"/>
                      <wps:spPr>
                        <a:xfrm>
                          <a:off x="0" y="0"/>
                          <a:ext cx="6480175" cy="3619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16"/>
                              </w:rPr>
                            </w:pPr>
                            <w:r>
                              <w:rPr>
                                <w:rFonts w:ascii="Arial;sans-serif" w:hAnsi="Arial;sans-serif"/>
                                <w:b w:val="false"/>
                                <w:color w:val="000000"/>
                                <w:sz w:val="16"/>
                              </w:rPr>
                              <w:t>The accompanying Notes are an integral part of these unaudited Condensed Consolidated Financial Statements.</w:t>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16"/>
                        </w:rPr>
                      </w:pPr>
                      <w:r>
                        <w:rPr>
                          <w:rFonts w:ascii="Arial;sans-serif" w:hAnsi="Arial;sans-serif"/>
                          <w:b w:val="false"/>
                          <w:color w:val="000000"/>
                          <w:sz w:val="16"/>
                        </w:rPr>
                        <w:t>The accompanying Notes are an integral part of these unaudited Condensed Consolidated Financial Statements.</w:t>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before="0" w:after="120"/>
        <w:jc w:val="both"/>
        <w:rPr/>
      </w:pPr>
      <w:r>
        <w:rPr/>
      </w:r>
    </w:p>
    <w:p>
      <w:pPr>
        <w:pStyle w:val="TextBody"/>
        <w:bidi w:val="0"/>
        <w:spacing w:before="240" w:after="24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WORLD KINECT CORPORATION</w:t>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CONDENSED CONSOLIDATED STATEMENTS OF INCOME AND</w:t>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COMPREHENSIVE INCOME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(Unaudited – In millions, except per share data)</w:t>
      </w:r>
    </w:p>
    <w:tbl>
      <w:tblPr>
        <w:tblW w:w="10205" w:type="dxa"/>
        <w:jc w:val="left"/>
        <w:tblInd w:w="0" w:type="dxa"/>
        <w:tblLayout w:type="fixed"/>
        <w:tblCellMar>
          <w:top w:w="28" w:type="dxa"/>
          <w:left w:w="28" w:type="dxa"/>
          <w:bottom w:w="28" w:type="dxa"/>
          <w:right w:w="28" w:type="dxa"/>
        </w:tblCellMar>
      </w:tblPr>
      <w:tblGrid>
        <w:gridCol w:w="1631"/>
        <w:gridCol w:w="1153"/>
        <w:gridCol w:w="1063"/>
        <w:gridCol w:w="109"/>
        <w:gridCol w:w="109"/>
        <w:gridCol w:w="109"/>
        <w:gridCol w:w="218"/>
        <w:gridCol w:w="950"/>
        <w:gridCol w:w="113"/>
        <w:gridCol w:w="113"/>
        <w:gridCol w:w="113"/>
        <w:gridCol w:w="113"/>
        <w:gridCol w:w="218"/>
        <w:gridCol w:w="841"/>
        <w:gridCol w:w="113"/>
        <w:gridCol w:w="109"/>
        <w:gridCol w:w="109"/>
        <w:gridCol w:w="109"/>
        <w:gridCol w:w="215"/>
        <w:gridCol w:w="936"/>
        <w:gridCol w:w="111"/>
        <w:gridCol w:w="111"/>
        <w:gridCol w:w="111"/>
        <w:gridCol w:w="111"/>
        <w:gridCol w:w="215"/>
        <w:gridCol w:w="936"/>
        <w:gridCol w:w="166"/>
      </w:tblGrid>
      <w:tr>
        <w:trPr/>
        <w:tc>
          <w:tcPr>
            <w:tcW w:w="1631"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84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Six Months Ended June 30,</w:t>
            </w:r>
          </w:p>
        </w:tc>
      </w:tr>
      <w:tr>
        <w:trPr/>
        <w:tc>
          <w:tcPr>
            <w:tcW w:w="384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3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13,591.2 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9,043.3 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23,276.2 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18,495.8 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13,226.0 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8,810.9 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22,639.8 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18,033.0 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365.1 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232.4 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636.3 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462.8 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Compensation and employee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Goodwill and other asset impairments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398.6 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443.1 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Restructuring and exit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269.1 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577.5 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484.0 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814.5 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96.1 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(345.1)</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152.4 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(351.6)</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Non-operating income (expenses),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and other financing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non-operating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(103.6)</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(53.8)</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(125.1)</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66.3 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(448.7)</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98.5 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(476.8)</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 including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49.8 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(339.1)</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75.3 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(360.4)</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 attributable to World Kinect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48.4 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(339.4)</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74.6 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(360.4)</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earnings (loss)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0.94 </w:t>
            </w:r>
          </w:p>
        </w:tc>
        <w:tc>
          <w:tcPr>
            <w:tcW w:w="11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(6.06)</w:t>
            </w:r>
          </w:p>
        </w:tc>
        <w:tc>
          <w:tcPr>
            <w:tcW w:w="11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1.45 </w:t>
            </w:r>
          </w:p>
        </w:tc>
        <w:tc>
          <w:tcPr>
            <w:tcW w:w="11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(6.38)</w:t>
            </w:r>
          </w:p>
        </w:tc>
        <w:tc>
          <w:tcPr>
            <w:tcW w:w="16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weighted average common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51.3 </w:t>
            </w:r>
          </w:p>
        </w:tc>
        <w:tc>
          <w:tcPr>
            <w:tcW w:w="11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56.0 </w:t>
            </w:r>
          </w:p>
        </w:tc>
        <w:tc>
          <w:tcPr>
            <w:tcW w:w="11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51.5 </w:t>
            </w:r>
          </w:p>
        </w:tc>
        <w:tc>
          <w:tcPr>
            <w:tcW w:w="11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56.5 </w:t>
            </w:r>
          </w:p>
        </w:tc>
        <w:tc>
          <w:tcPr>
            <w:tcW w:w="16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earnings (loss)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0.94 </w:t>
            </w:r>
          </w:p>
        </w:tc>
        <w:tc>
          <w:tcPr>
            <w:tcW w:w="11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(6.06)</w:t>
            </w:r>
          </w:p>
        </w:tc>
        <w:tc>
          <w:tcPr>
            <w:tcW w:w="11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1.44 </w:t>
            </w:r>
          </w:p>
        </w:tc>
        <w:tc>
          <w:tcPr>
            <w:tcW w:w="11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(6.38)</w:t>
            </w:r>
          </w:p>
        </w:tc>
        <w:tc>
          <w:tcPr>
            <w:tcW w:w="16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weighted average common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51.6 </w:t>
            </w:r>
          </w:p>
        </w:tc>
        <w:tc>
          <w:tcPr>
            <w:tcW w:w="11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56.0 </w:t>
            </w:r>
          </w:p>
        </w:tc>
        <w:tc>
          <w:tcPr>
            <w:tcW w:w="11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51.8 </w:t>
            </w:r>
          </w:p>
        </w:tc>
        <w:tc>
          <w:tcPr>
            <w:tcW w:w="11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56.5 </w:t>
            </w:r>
          </w:p>
        </w:tc>
        <w:tc>
          <w:tcPr>
            <w:tcW w:w="16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 including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(339.1)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Cash flow hedges, net of income tax expense (benefit) of $9.3 and $0.5 for the three months ended June 30, 2026 and 2025, respectively, and net of income tax expense (benefit) of $(5.1) and $(0.4) for the six months ended June 30, 2026 and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63.1 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73.1 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Comprehensive income (loss) including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76.6 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(276.0)</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60.0 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(287.2)</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Comprehensive income (loss) attributable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Comprehensive income (loss) attributable to World Kinect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75.2 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(276.2)</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59.2 </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(287.3)</w:t>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61950"/>
                <wp:effectExtent l="0" t="0" r="0" b="0"/>
                <wp:wrapNone/>
                <wp:docPr id="4" name="Frame4"/>
                <a:graphic xmlns:a="http://schemas.openxmlformats.org/drawingml/2006/main">
                  <a:graphicData uri="http://schemas.microsoft.com/office/word/2010/wordprocessingShape">
                    <wps:wsp>
                      <wps:cNvSpPr txBox="1"/>
                      <wps:spPr>
                        <a:xfrm>
                          <a:off x="0" y="0"/>
                          <a:ext cx="6480175" cy="3619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16"/>
                              </w:rPr>
                            </w:pPr>
                            <w:r>
                              <w:rPr>
                                <w:rFonts w:ascii="Arial;sans-serif" w:hAnsi="Arial;sans-serif"/>
                                <w:b w:val="false"/>
                                <w:color w:val="000000"/>
                                <w:sz w:val="16"/>
                              </w:rPr>
                              <w:t>The accompanying Notes are an integral part of these unaudited Condensed Consolidated Financial Statements.</w:t>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16"/>
                        </w:rPr>
                      </w:pPr>
                      <w:r>
                        <w:rPr>
                          <w:rFonts w:ascii="Arial;sans-serif" w:hAnsi="Arial;sans-serif"/>
                          <w:b w:val="false"/>
                          <w:color w:val="000000"/>
                          <w:sz w:val="16"/>
                        </w:rPr>
                        <w:t>The accompanying Notes are an integral part of these unaudited Condensed Consolidated Financial Statements.</w:t>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0" w:after="120"/>
        <w:jc w:val="both"/>
        <w:rPr/>
      </w:pPr>
      <w:r>
        <w:rPr/>
      </w:r>
    </w:p>
    <w:p>
      <w:pPr>
        <w:pStyle w:val="TextBody"/>
        <w:bidi w:val="0"/>
        <w:spacing w:before="240" w:after="24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WORLD KINECT CORPORATION</w:t>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CONDENSED CONSOLIDATED STATEMENTS OF SHAREHOLDERS' EQUITY</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(Unaudited - In millions)</w:t>
      </w:r>
    </w:p>
    <w:tbl>
      <w:tblPr>
        <w:tblW w:w="11734" w:type="dxa"/>
        <w:jc w:val="center"/>
        <w:tblInd w:w="0" w:type="dxa"/>
        <w:tblLayout w:type="fixed"/>
        <w:tblCellMar>
          <w:top w:w="28" w:type="dxa"/>
          <w:left w:w="28" w:type="dxa"/>
          <w:bottom w:w="28" w:type="dxa"/>
          <w:right w:w="28" w:type="dxa"/>
        </w:tblCellMar>
      </w:tblPr>
      <w:tblGrid>
        <w:gridCol w:w="681"/>
        <w:gridCol w:w="282"/>
        <w:gridCol w:w="283"/>
        <w:gridCol w:w="233"/>
        <w:gridCol w:w="233"/>
        <w:gridCol w:w="216"/>
        <w:gridCol w:w="109"/>
        <w:gridCol w:w="109"/>
        <w:gridCol w:w="109"/>
        <w:gridCol w:w="216"/>
        <w:gridCol w:w="414"/>
        <w:gridCol w:w="121"/>
        <w:gridCol w:w="109"/>
        <w:gridCol w:w="109"/>
        <w:gridCol w:w="109"/>
        <w:gridCol w:w="240"/>
        <w:gridCol w:w="497"/>
        <w:gridCol w:w="134"/>
        <w:gridCol w:w="109"/>
        <w:gridCol w:w="109"/>
        <w:gridCol w:w="109"/>
        <w:gridCol w:w="196"/>
        <w:gridCol w:w="691"/>
        <w:gridCol w:w="109"/>
        <w:gridCol w:w="109"/>
        <w:gridCol w:w="109"/>
        <w:gridCol w:w="109"/>
        <w:gridCol w:w="336"/>
        <w:gridCol w:w="826"/>
        <w:gridCol w:w="189"/>
        <w:gridCol w:w="109"/>
        <w:gridCol w:w="109"/>
        <w:gridCol w:w="109"/>
        <w:gridCol w:w="236"/>
        <w:gridCol w:w="833"/>
        <w:gridCol w:w="132"/>
        <w:gridCol w:w="109"/>
        <w:gridCol w:w="109"/>
        <w:gridCol w:w="109"/>
        <w:gridCol w:w="375"/>
        <w:gridCol w:w="721"/>
        <w:gridCol w:w="210"/>
        <w:gridCol w:w="109"/>
        <w:gridCol w:w="109"/>
        <w:gridCol w:w="109"/>
        <w:gridCol w:w="196"/>
        <w:gridCol w:w="691"/>
        <w:gridCol w:w="154"/>
      </w:tblGrid>
      <w:tr>
        <w:trPr/>
        <w:tc>
          <w:tcPr>
            <w:tcW w:w="68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Capital in</w:t>
              <w:br/>
              <w:t>Excess of</w:t>
              <w:b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br/>
              <w:t>World Kinect</w:t>
              <w:br/>
              <w:t>Shareholders'</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Noncontrolling</w:t>
              <w:br/>
              <w:t xml:space="preserve">Interest </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6"/>
              </w:rPr>
              <w:t>Total Equity</w:t>
            </w:r>
          </w:p>
        </w:tc>
      </w:tr>
      <w:tr>
        <w:trPr/>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as of December 31, 2025</w:t>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54.1 </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1,299.1 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8.8 </w:t>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1,307.9 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dividends declared</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share-based payment awards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(cancellation) of common stock related to share-based payment awards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Purchases of common stock tendered by employees to satisfy the required withholding taxes related to share-based payment awards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Purchases of common stock</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(75.7)</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 (loss)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(42.2)</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(42.2)</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as of March 31, 2026</w:t>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51.4 </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(59.5)</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1,203.7 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8.1 </w:t>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1,211.8 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dividends declared</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share-based payment awards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(cancellation) of common stock related to share-based payment awards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Purchases of common stock tendered by employees to satisfy the required withholding taxes related to share-based payment awards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Purchases of common stock</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 (loss)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as of June 30, 2026</w:t>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51.2 </w:t>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0.5 </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1,289.8 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w:t>
            </w:r>
          </w:p>
        </w:tc>
        <w:tc>
          <w:tcPr>
            <w:tcW w:w="1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1,257.6 </w:t>
            </w:r>
          </w:p>
        </w:tc>
        <w:tc>
          <w:tcPr>
            <w:tcW w:w="1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9.5 </w:t>
            </w:r>
          </w:p>
        </w:tc>
        <w:tc>
          <w:tcPr>
            <w:tcW w:w="2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1,267.1 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61950"/>
                <wp:effectExtent l="0" t="0" r="0" b="0"/>
                <wp:wrapNone/>
                <wp:docPr id="5" name="Frame5"/>
                <a:graphic xmlns:a="http://schemas.openxmlformats.org/drawingml/2006/main">
                  <a:graphicData uri="http://schemas.microsoft.com/office/word/2010/wordprocessingShape">
                    <wps:wsp>
                      <wps:cNvSpPr txBox="1"/>
                      <wps:spPr>
                        <a:xfrm>
                          <a:off x="0" y="0"/>
                          <a:ext cx="6480175" cy="3619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16"/>
                              </w:rPr>
                            </w:pPr>
                            <w:r>
                              <w:rPr>
                                <w:rFonts w:ascii="Arial;sans-serif" w:hAnsi="Arial;sans-serif"/>
                                <w:b w:val="false"/>
                                <w:color w:val="000000"/>
                                <w:sz w:val="16"/>
                              </w:rPr>
                              <w:t>The accompanying Notes are an integral part of these unaudited Condensed Consolidated Financial Statements.</w:t>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16"/>
                        </w:rPr>
                      </w:pPr>
                      <w:r>
                        <w:rPr>
                          <w:rFonts w:ascii="Arial;sans-serif" w:hAnsi="Arial;sans-serif"/>
                          <w:b w:val="false"/>
                          <w:color w:val="000000"/>
                          <w:sz w:val="16"/>
                        </w:rPr>
                        <w:t>The accompanying Notes are an integral part of these unaudited Condensed Consolidated Financial Statements.</w:t>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before="0" w:after="120"/>
        <w:jc w:val="both"/>
        <w:rPr/>
      </w:pPr>
      <w:r>
        <w:rPr/>
      </w:r>
    </w:p>
    <w:p>
      <w:pPr>
        <w:pStyle w:val="TextBody"/>
        <w:bidi w:val="0"/>
        <w:spacing w:before="240" w:after="240"/>
        <w:jc w:val="left"/>
        <w:rPr/>
      </w:pPr>
      <w:r>
        <w:rPr/>
      </w:r>
    </w:p>
    <w:tbl>
      <w:tblPr>
        <w:tblW w:w="11734" w:type="dxa"/>
        <w:jc w:val="left"/>
        <w:tblInd w:w="0" w:type="dxa"/>
        <w:tblLayout w:type="fixed"/>
        <w:tblCellMar>
          <w:top w:w="28" w:type="dxa"/>
          <w:left w:w="28" w:type="dxa"/>
          <w:bottom w:w="28" w:type="dxa"/>
          <w:right w:w="28" w:type="dxa"/>
        </w:tblCellMar>
      </w:tblPr>
      <w:tblGrid>
        <w:gridCol w:w="681"/>
        <w:gridCol w:w="282"/>
        <w:gridCol w:w="283"/>
        <w:gridCol w:w="233"/>
        <w:gridCol w:w="233"/>
        <w:gridCol w:w="216"/>
        <w:gridCol w:w="109"/>
        <w:gridCol w:w="109"/>
        <w:gridCol w:w="109"/>
        <w:gridCol w:w="216"/>
        <w:gridCol w:w="414"/>
        <w:gridCol w:w="121"/>
        <w:gridCol w:w="109"/>
        <w:gridCol w:w="109"/>
        <w:gridCol w:w="109"/>
        <w:gridCol w:w="221"/>
        <w:gridCol w:w="526"/>
        <w:gridCol w:w="124"/>
        <w:gridCol w:w="109"/>
        <w:gridCol w:w="109"/>
        <w:gridCol w:w="109"/>
        <w:gridCol w:w="196"/>
        <w:gridCol w:w="691"/>
        <w:gridCol w:w="109"/>
        <w:gridCol w:w="109"/>
        <w:gridCol w:w="109"/>
        <w:gridCol w:w="109"/>
        <w:gridCol w:w="336"/>
        <w:gridCol w:w="826"/>
        <w:gridCol w:w="189"/>
        <w:gridCol w:w="109"/>
        <w:gridCol w:w="109"/>
        <w:gridCol w:w="109"/>
        <w:gridCol w:w="236"/>
        <w:gridCol w:w="833"/>
        <w:gridCol w:w="132"/>
        <w:gridCol w:w="109"/>
        <w:gridCol w:w="109"/>
        <w:gridCol w:w="109"/>
        <w:gridCol w:w="375"/>
        <w:gridCol w:w="721"/>
        <w:gridCol w:w="210"/>
        <w:gridCol w:w="109"/>
        <w:gridCol w:w="109"/>
        <w:gridCol w:w="109"/>
        <w:gridCol w:w="196"/>
        <w:gridCol w:w="691"/>
        <w:gridCol w:w="154"/>
      </w:tblGrid>
      <w:tr>
        <w:trPr/>
        <w:tc>
          <w:tcPr>
            <w:tcW w:w="68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Capital in</w:t>
              <w:br/>
              <w:t>Excess of</w:t>
              <w:b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br/>
              <w:t>World Kinect</w:t>
              <w:br/>
              <w:t>Shareholders'</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Noncontrolling</w:t>
              <w:br/>
              <w:t xml:space="preserve">Interest </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6"/>
              </w:rPr>
              <w:t>Total Equity</w:t>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as of December 31, 2024</w:t>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56.7 </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(91.0)</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1,948.7 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1,955.9 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dividends declared</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share-based payment awards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(cancellation) of common stock related to share-based payment awards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Purchases of common stock tendered by employees to satisfy the required withholding taxes related to share-based payment awards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Purchases of common stock</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 (loss)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as of March 31, 2025</w:t>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56.6 </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(81.0)</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1,921.2 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7.0 </w:t>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1,928.3 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(339.4)</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dividends declared</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share-based payment awards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(cancellation) of common stock related to share-based payment awards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Purchases of common stock tendered by employees to satisfy the required withholding taxes related to share-based payment awards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Purchases of common stock</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(35.4)</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 (loss)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Distribution to noncontrolling interest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as of June 30, 2025</w:t>
            </w:r>
          </w:p>
        </w:tc>
        <w:tc>
          <w:tcPr>
            <w:tcW w:w="4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55.5 </w:t>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1,615.9 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w:t>
            </w:r>
          </w:p>
        </w:tc>
        <w:tc>
          <w:tcPr>
            <w:tcW w:w="1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1,598.6 </w:t>
            </w:r>
          </w:p>
        </w:tc>
        <w:tc>
          <w:tcPr>
            <w:tcW w:w="1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6.2 </w:t>
            </w:r>
          </w:p>
        </w:tc>
        <w:tc>
          <w:tcPr>
            <w:tcW w:w="2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1,604.8 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61950"/>
                <wp:effectExtent l="0" t="0" r="0" b="0"/>
                <wp:wrapNone/>
                <wp:docPr id="6" name="Frame6"/>
                <a:graphic xmlns:a="http://schemas.openxmlformats.org/drawingml/2006/main">
                  <a:graphicData uri="http://schemas.microsoft.com/office/word/2010/wordprocessingShape">
                    <wps:wsp>
                      <wps:cNvSpPr txBox="1"/>
                      <wps:spPr>
                        <a:xfrm>
                          <a:off x="0" y="0"/>
                          <a:ext cx="6480175" cy="3619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16"/>
                              </w:rPr>
                            </w:pPr>
                            <w:r>
                              <w:rPr>
                                <w:rFonts w:ascii="Arial;sans-serif" w:hAnsi="Arial;sans-serif"/>
                                <w:b w:val="false"/>
                                <w:color w:val="000000"/>
                                <w:sz w:val="16"/>
                              </w:rPr>
                              <w:t>The accompanying Notes are an integral part of these unaudited Condensed Consolidated Financial Statements.</w:t>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16"/>
                        </w:rPr>
                      </w:pPr>
                      <w:r>
                        <w:rPr>
                          <w:rFonts w:ascii="Arial;sans-serif" w:hAnsi="Arial;sans-serif"/>
                          <w:b w:val="false"/>
                          <w:color w:val="000000"/>
                          <w:sz w:val="16"/>
                        </w:rPr>
                        <w:t>The accompanying Notes are an integral part of these unaudited Condensed Consolidated Financial Statements.</w:t>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before="0" w:after="120"/>
        <w:jc w:val="both"/>
        <w:rPr/>
      </w:pPr>
      <w:r>
        <w:rPr/>
      </w:r>
    </w:p>
    <w:p>
      <w:pPr>
        <w:pStyle w:val="TextBody"/>
        <w:bidi w:val="0"/>
        <w:spacing w:before="240" w:after="24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WORLD KINECT CORPORATION</w:t>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CONDENSED CONSOLIDATED STATEMENTS OF CASH FLOWS</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(Unaudited - In millions)</w:t>
      </w:r>
    </w:p>
    <w:tbl>
      <w:tblPr>
        <w:tblW w:w="10205" w:type="dxa"/>
        <w:jc w:val="left"/>
        <w:tblInd w:w="0" w:type="dxa"/>
        <w:tblLayout w:type="fixed"/>
        <w:tblCellMar>
          <w:top w:w="28" w:type="dxa"/>
          <w:left w:w="28" w:type="dxa"/>
          <w:bottom w:w="28" w:type="dxa"/>
          <w:right w:w="28" w:type="dxa"/>
        </w:tblCellMar>
      </w:tblPr>
      <w:tblGrid>
        <w:gridCol w:w="2611"/>
        <w:gridCol w:w="2202"/>
        <w:gridCol w:w="2208"/>
        <w:gridCol w:w="109"/>
        <w:gridCol w:w="109"/>
        <w:gridCol w:w="109"/>
        <w:gridCol w:w="261"/>
        <w:gridCol w:w="763"/>
        <w:gridCol w:w="134"/>
        <w:gridCol w:w="134"/>
        <w:gridCol w:w="134"/>
        <w:gridCol w:w="134"/>
        <w:gridCol w:w="261"/>
        <w:gridCol w:w="839"/>
        <w:gridCol w:w="197"/>
      </w:tblGrid>
      <w:tr>
        <w:trPr/>
        <w:tc>
          <w:tcPr>
            <w:tcW w:w="2611" w:type="dxa"/>
            <w:tcBorders/>
            <w:vAlign w:val="center"/>
          </w:tcPr>
          <w:p>
            <w:pPr>
              <w:pStyle w:val="TableContents"/>
              <w:bidi w:val="0"/>
              <w:spacing w:before="0" w:after="283"/>
              <w:jc w:val="left"/>
              <w:rPr>
                <w:sz w:val="4"/>
                <w:szCs w:val="4"/>
              </w:rPr>
            </w:pPr>
            <w:r>
              <w:rPr>
                <w:sz w:val="4"/>
                <w:szCs w:val="4"/>
              </w:rPr>
            </w:r>
          </w:p>
        </w:tc>
        <w:tc>
          <w:tcPr>
            <w:tcW w:w="2202" w:type="dxa"/>
            <w:tcBorders/>
            <w:vAlign w:val="center"/>
          </w:tcPr>
          <w:p>
            <w:pPr>
              <w:pStyle w:val="TableContents"/>
              <w:bidi w:val="0"/>
              <w:spacing w:before="0" w:after="283"/>
              <w:jc w:val="left"/>
              <w:rPr>
                <w:sz w:val="4"/>
                <w:szCs w:val="4"/>
              </w:rPr>
            </w:pPr>
            <w:r>
              <w:rPr>
                <w:sz w:val="4"/>
                <w:szCs w:val="4"/>
              </w:rPr>
            </w:r>
          </w:p>
        </w:tc>
        <w:tc>
          <w:tcPr>
            <w:tcW w:w="2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70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 the Six Months Ended June 30,</w:t>
            </w:r>
          </w:p>
        </w:tc>
      </w:tr>
      <w:tr>
        <w:trPr/>
        <w:tc>
          <w:tcPr>
            <w:tcW w:w="70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7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 including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(360.4)</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reconcile net income including noncontrolling interest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(gain) loss on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(Gain) loss on sale of business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Noncash operating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Share-based payment award compensation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(139.8)</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foreign currency (gains) losses,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Goodwill and other asset impairment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443.1 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assets and liabilities, net of acquisitions and divestitures: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(750.7)</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(123.6)</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collateral with counterparties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(76.3)</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(56.2)</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derivative assets and liabilities,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647.9 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(90.0)</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(73.3)</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(67.7)</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142.6 </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r>
      <w:tr>
        <w:trPr/>
        <w:tc>
          <w:tcPr>
            <w:tcW w:w="7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 of business, net of divested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investing activities,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64.7 </w:t>
            </w:r>
          </w:p>
        </w:tc>
        <w:tc>
          <w:tcPr>
            <w:tcW w:w="1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w:t>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Borrowings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3,020.0 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1,624.0 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Repayments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(2,970.3)</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(1,682.8)</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Dividends paid on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Repurchases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(89.3)</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(45.0)</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r>
      <w:tr>
        <w:trPr/>
        <w:tc>
          <w:tcPr>
            <w:tcW w:w="7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financing activities,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(57.5)</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(131.1)</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r>
      <w:tr>
        <w:trPr/>
        <w:tc>
          <w:tcPr>
            <w:tcW w:w="7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exchange rate changes on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13.6 </w:t>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increase (decrease)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(58.2)</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20.3 </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as of the beginning of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382.9 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as of the end of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135.3 </w:t>
            </w:r>
          </w:p>
        </w:tc>
        <w:tc>
          <w:tcPr>
            <w:tcW w:w="1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403.2 </w:t>
            </w:r>
          </w:p>
        </w:tc>
        <w:tc>
          <w:tcPr>
            <w:tcW w:w="1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61950"/>
                <wp:effectExtent l="0" t="0" r="0" b="0"/>
                <wp:wrapNone/>
                <wp:docPr id="7" name="Frame7"/>
                <a:graphic xmlns:a="http://schemas.openxmlformats.org/drawingml/2006/main">
                  <a:graphicData uri="http://schemas.microsoft.com/office/word/2010/wordprocessingShape">
                    <wps:wsp>
                      <wps:cNvSpPr txBox="1"/>
                      <wps:spPr>
                        <a:xfrm>
                          <a:off x="0" y="0"/>
                          <a:ext cx="6480175" cy="3619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16"/>
                              </w:rPr>
                            </w:pPr>
                            <w:r>
                              <w:rPr>
                                <w:rFonts w:ascii="Arial;sans-serif" w:hAnsi="Arial;sans-serif"/>
                                <w:b w:val="false"/>
                                <w:color w:val="000000"/>
                                <w:sz w:val="16"/>
                              </w:rPr>
                              <w:t>The accompanying Notes are an integral part of these unaudited Condensed Consolidated Financial Statements.</w:t>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16"/>
                        </w:rPr>
                      </w:pPr>
                      <w:r>
                        <w:rPr>
                          <w:rFonts w:ascii="Arial;sans-serif" w:hAnsi="Arial;sans-serif"/>
                          <w:b w:val="false"/>
                          <w:color w:val="000000"/>
                          <w:sz w:val="16"/>
                        </w:rPr>
                        <w:t>The accompanying Notes are an integral part of these unaudited Condensed Consolidated Financial Statements.</w:t>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before="0" w:after="120"/>
        <w:jc w:val="both"/>
        <w:rPr/>
      </w:pPr>
      <w:r>
        <w:rPr/>
      </w:r>
    </w:p>
    <w:p>
      <w:pPr>
        <w:pStyle w:val="TextBody"/>
        <w:bidi w:val="0"/>
        <w:spacing w:before="240" w:after="24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WORLD KINECT CORPORATION NOTES TO THE CONDENSED CONSOLIDATED FINANCIAL STATEMENTS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Arial;sans-serif" w:hAnsi="Arial;sans-serif"/>
          <w:b/>
          <w:color w:val="000000"/>
          <w:sz w:val="20"/>
        </w:rPr>
      </w:pPr>
      <w:r>
        <w:rPr>
          <w:rFonts w:ascii="Arial;sans-serif" w:hAnsi="Arial;sans-serif"/>
          <w:b/>
          <w:color w:val="000000"/>
          <w:sz w:val="20"/>
        </w:rPr>
        <w:t>1. Basis of Presentation, New Accounting Standards, and Significant Accounting Policies</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General</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World Kinect Corporation (the "Company") was incorporated in Florida in July 1984 and, along with its consolidated subsidiaries, is referred to collectively in this Quarterly Report on Form 10-Q ("10-Q Report") as "World Kinect," "we," "our" and "us."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We are a global provider of aviation, marine, and ground-based transportation fuels and complementary services operating under our core commercial brand, World Fuel. Through an integrated global supply and logistics network, we source and distribute products and services to meet customer needs throughout the world, including lower-carbon fuels to support our customers' energy-transition objectives. In the United States, we also market natural gas and related solutions.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Condensed Consolidated Financial Statements and related Notes include our parent company and all subsidiaries where we exercise control, and include the operations of acquired businesses after the completion of their acquisition. The decision of whether or not to consolidate an entity requires consideration of majority voting interests, as well as effective economic or other control over the entity. The Condensed Consolidated Financial Statements are prepared in accordance with accounting principles generally accepted in the United States of America ("U.S. GAAP"), the instructions to Form 10-Q, and Article 10 of Regulation S-X. Accordingly, they do not include all the information and footnotes required by U.S. GAAP for complete financial statements. However, except as disclosed herein, there has been no material change in the information disclosed in the Notes included in our 2025 Annual Report on Form 10-K ("2025 10-K Report"). All intercompany transactions among our businesses have been eliminated.</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Revenues, expenses, assets and liabilities can vary during each quarter of the year. Therefore, the results and trends in these interim financial statements may not be representative of those for the full year. All adjustments necessary for a fair statement of the financial statements, which are of a normal and recurring nature, have been made for the interim periods reported. The information included in this 10-Q Report should be read in conjunction with the Consolidated Financial Statements and accompanying Notes included in our 2025 10-K Report.</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Due to rounding, certain amounts may not add; however, all percentages have been calculated using unrounded amounts. Certain prior period amounts have been reclassified to conform to the current presentation.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New Accounting Standards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val="false"/>
          <w:color w:val="000000"/>
          <w:sz w:val="20"/>
          <w:u w:val="single"/>
        </w:rPr>
      </w:pPr>
      <w:r>
        <w:rPr>
          <w:rFonts w:ascii="Arial;sans-serif" w:hAnsi="Arial;sans-serif"/>
          <w:b w:val="false"/>
          <w:color w:val="000000"/>
          <w:sz w:val="20"/>
          <w:u w:val="single"/>
        </w:rPr>
        <w:t>Accounting Standards Issued but Not Yet Adopted</w:t>
      </w:r>
    </w:p>
    <w:p>
      <w:pPr>
        <w:pStyle w:val="TextBody"/>
        <w:bidi w:val="0"/>
        <w:spacing w:lineRule="auto" w:line="288" w:before="0" w:after="120"/>
        <w:jc w:val="both"/>
        <w:rPr/>
      </w:pPr>
      <w:r>
        <w:rPr>
          <w:rFonts w:ascii="Arial;sans-serif" w:hAnsi="Arial;sans-serif"/>
          <w:b w:val="false"/>
          <w:i/>
          <w:color w:val="000000"/>
          <w:sz w:val="20"/>
        </w:rPr>
        <w:t>Expense Disaggregation.</w:t>
      </w:r>
      <w:r>
        <w:rPr>
          <w:color w:val="000000"/>
        </w:rPr>
        <w:t xml:space="preserve"> </w:t>
      </w:r>
      <w:r>
        <w:rPr>
          <w:rFonts w:ascii="Arial;sans-serif" w:hAnsi="Arial;sans-serif"/>
          <w:b w:val="false"/>
          <w:color w:val="000000"/>
          <w:sz w:val="20"/>
        </w:rPr>
        <w:t>Accounting Standards Update ("ASU") 2024-03, Income Statement - Reporting Comprehensive Income - Expense Disaggregation Disclosures (Subtopic 220-40): Disaggregation of Income Statement Expenses, was issued in November 2024. ASU 2024-03 does not change the expense captions an entity presents on the face of the income statement; however, it requires disaggregation of certain expense captions into specified categories in disclosures within the footnotes to the financial statements for each interim and annual period. The amendments require disclosure of the amounts of (a) purchases of inventory, (b) employee compensation, (c) depreciation, (d) intangible asset amortization, and (e) depreciation, depletion, and amortization recognized as part of oil- and gas-producing activities included in each relevant expense caption. The amendments also require disclosure of certain amounts that are already required to be disclosed under current guidance in the same disclosure as the other disaggregation requirements, a qualitative description of the amounts remaining in relevant expense captions that are not separately disaggregated quantitatively, and the total amount of selling expenses as well as, in annual reporting periods, the entity's definition of selling expenses. ASU 2024-03 is effective for annual reporting periods beginning after December 15, 2026, and interim reporting periods within annual reporting periods beginning after December 15, 2027. Early adoption is permitted. The amendments should be applied prospectively to financial statements issued for reporting periods after the effective date of the update or retrospectively to any or all prior periods presented in the financial statements. The Company is currently evaluating the amendments to identify potential impacts to the Company's Notes to the Condensed Consolidated Financial Statements and processes.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before="0" w:after="120"/>
        <w:jc w:val="both"/>
        <w:rPr/>
      </w:pPr>
      <w:r>
        <w:rPr/>
      </w:r>
    </w:p>
    <w:p>
      <w:pPr>
        <w:pStyle w:val="TextBody"/>
        <w:bidi w:val="0"/>
        <w:spacing w:before="240" w:after="240"/>
        <w:jc w:val="left"/>
        <w:rPr/>
      </w:pPr>
      <w:r>
        <w:rPr/>
      </w:r>
    </w:p>
    <w:p>
      <w:pPr>
        <w:pStyle w:val="TextBody"/>
        <w:bidi w:val="0"/>
        <w:spacing w:lineRule="auto" w:line="288" w:before="0" w:after="120"/>
        <w:jc w:val="both"/>
        <w:rPr/>
      </w:pPr>
      <w:r>
        <w:rPr>
          <w:rFonts w:ascii="Arial;sans-serif" w:hAnsi="Arial;sans-serif"/>
          <w:b w:val="false"/>
          <w:i/>
          <w:color w:val="000000"/>
          <w:sz w:val="20"/>
        </w:rPr>
        <w:t>Internal-Use Software</w:t>
      </w:r>
      <w:r>
        <w:rPr>
          <w:rFonts w:ascii="Arial;sans-serif" w:hAnsi="Arial;sans-serif"/>
          <w:b w:val="false"/>
          <w:color w:val="000000"/>
          <w:sz w:val="20"/>
        </w:rPr>
        <w:t>. ASU 2025-06, Intangibles - Goodwill and Other - Internal-Use Software (Subtopic 350-40): Targeted Improvements to the Accounting for Internal-Use Software, was issued in September 2025. ASU 2025-06 modernizes the accounting for internal-use software costs by eliminating the prescriptive "project stage" model and introducing a principles-based framework that is intended to better reflect current software development practices and consolidate guidance on website development costs into the broader framework for internal-use software. The amendments are effective for annual reporting periods beginning after December 15, 2027, and interim reporting periods within those annual reporting periods. Early adoption is permitted. The Company is currently evaluating the amendments to identify potential impacts to the Company’s Condensed Consolidated Financial Statements and processes.</w:t>
      </w:r>
    </w:p>
    <w:p>
      <w:pPr>
        <w:pStyle w:val="TextBody"/>
        <w:bidi w:val="0"/>
        <w:spacing w:lineRule="auto" w:line="288" w:before="0" w:after="120"/>
        <w:jc w:val="both"/>
        <w:rPr/>
      </w:pPr>
      <w:r>
        <w:rPr>
          <w:rFonts w:ascii="Arial;sans-serif" w:hAnsi="Arial;sans-serif"/>
          <w:b w:val="false"/>
          <w:i/>
          <w:color w:val="000000"/>
          <w:sz w:val="20"/>
        </w:rPr>
        <w:t>Environmental Credits</w:t>
      </w:r>
      <w:r>
        <w:rPr>
          <w:rFonts w:ascii="Arial;sans-serif" w:hAnsi="Arial;sans-serif"/>
          <w:b w:val="false"/>
          <w:color w:val="000000"/>
          <w:sz w:val="20"/>
        </w:rPr>
        <w:t>. ASU 2026-02, Environmental Credits and Environmental Credit Obligations (Topic 818), was issued in May 2026. ASU 2026-02 establishes new authoritative guidance for the recognition, measurement, presentation, and disclosure of environmental credits and related environmental credit obligations, including those arising from regulatory compliance programs and activities that generate or give rise to environmental credits, whether generated internally, acquired, traded, or granted. The standard introduces a standardized framework that distinguishes between compliance and noncompliance environmental credits and provides guidance for accounting for both the credits and associated obligations. The amendments are effective for annual reporting periods beginning after December 15, 2027, and interim reporting periods within those annual reporting periods. Early adoption is permitted. The Company is currently evaluating the new guidance to identify potential impacts to the Company’s Condensed Consolidated Financial Statements and processes.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There are no other recently issued accounting standards not yet adopted by us that are expected, upon adoption, to have a material impact on the Company’s Condensed Consolidated Financial Statements or processes.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Significant Accounting Policies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There have been no significant changes in the Company's accounting policies from those disclosed in our 2025 10-K Report. The significant accounting policies we use for quarterly financial reporting are disclosed in Note 1. Basis of Presentation, New Accounting Standards, and Significant Accounting Policies of the accompanying Notes to the Consolidated Financial Statements included in our 2025 10-K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Arial;sans-serif" w:hAnsi="Arial;sans-serif"/>
          <w:b/>
          <w:color w:val="000000"/>
          <w:sz w:val="20"/>
        </w:rPr>
      </w:pPr>
      <w:r>
        <w:rPr>
          <w:rFonts w:ascii="Arial;sans-serif" w:hAnsi="Arial;sans-serif"/>
          <w:b/>
          <w:color w:val="000000"/>
          <w:sz w:val="20"/>
        </w:rPr>
        <w:t>2. Acquisitions and Divestitures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Assets and Liabilities Held for Sale</w:t>
      </w:r>
    </w:p>
    <w:p>
      <w:pPr>
        <w:pStyle w:val="TextBody"/>
        <w:bidi w:val="0"/>
        <w:spacing w:lineRule="auto" w:line="288" w:before="240" w:after="283"/>
        <w:jc w:val="left"/>
        <w:rPr>
          <w:rFonts w:ascii="Arial;sans-serif" w:hAnsi="Arial;sans-serif"/>
          <w:b w:val="false"/>
          <w:color w:val="000000"/>
          <w:sz w:val="20"/>
          <w:u w:val="single"/>
        </w:rPr>
      </w:pPr>
      <w:r>
        <w:rPr>
          <w:rFonts w:ascii="Arial;sans-serif" w:hAnsi="Arial;sans-serif"/>
          <w:b w:val="false"/>
          <w:color w:val="000000"/>
          <w:sz w:val="20"/>
          <w:u w:val="single"/>
        </w:rPr>
        <w:t>Land Fuel Transportation and Lubricants Disposal Group</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During the fourth quarter of 2025, management committed to and initiated actions to execute a plan to exit certain operations within the land segment that were no longer profitable or not aligned with the Company's core business and corporate strategy. These exit plans include certain assets and liabilities within the land segment (the "Land Fuel Transportation and Lubricants disposal group") that were expected to be sold during 2026. The disposal group did not meet the criteria to be reported as a discontinued operation, however the assets and liabilities within the disposal group met the criteria to be classified as held for sale as of December 31, 2025.</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Land Fuel Transportation and Lubricants disposal group assets were assessed for impairment under the held for sale impairment model during the fourth quarter of 2025. As a result, impairment charges totaling $85.1 million were recognized to reduce the carrying amount of the disposal group to its estimated fair value less costs to sell. The total impairment charge included approximately $35.3 million of goodwill that was allocated to the Land Fuel Transportation and Lubricants disposal group, as well as $49.7 million related to the long-lived assets included within the disposal group. The remaining carrying value of disposal group assets and liabilities was classified as Other current assets and Accrued expenses and other current liabilities, respectively, within our Condensed Consolidated Balance Sheet as of December 31, 2025.</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In June 2026, we closed on the sale of a majority of the Land Fuel Transportation and Lubricants disposal group for total proceeds of $82.8 million, subject to inventory and other adjustments. During the second quarter of 2026, we recognized a gain on sale of $1.2 million. Certain assets originally included in the Land Fuel Transportation and Lubricants disposal group were not included in the sale transaction and were no longer considered held for sale as of June 30, 2026. As a result, $4.0 million of impairment charges previously recognized during the fourth quarter of 2025 were reversed during the second quarter of 2026. As of June 30, 2026, there were no Land Fuel Transportation and Lubricants disposal group assets or liabilities classified as held for sale.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before="0" w:after="120"/>
        <w:jc w:val="both"/>
        <w:rPr/>
      </w:pPr>
      <w:r>
        <w:rPr/>
      </w:r>
    </w:p>
    <w:p>
      <w:pPr>
        <w:pStyle w:val="TextBody"/>
        <w:bidi w:val="0"/>
        <w:spacing w:before="240" w:after="240"/>
        <w:jc w:val="left"/>
        <w:rPr/>
      </w:pPr>
      <w:r>
        <w:rPr/>
      </w:r>
    </w:p>
    <w:p>
      <w:pPr>
        <w:pStyle w:val="TextBody"/>
        <w:bidi w:val="0"/>
        <w:spacing w:lineRule="auto" w:line="288" w:before="240" w:after="283"/>
        <w:jc w:val="left"/>
        <w:rPr>
          <w:rFonts w:ascii="Arial;sans-serif" w:hAnsi="Arial;sans-serif"/>
          <w:b w:val="false"/>
          <w:color w:val="000000"/>
          <w:sz w:val="20"/>
          <w:u w:val="single"/>
        </w:rPr>
      </w:pPr>
      <w:r>
        <w:rPr>
          <w:rFonts w:ascii="Arial;sans-serif" w:hAnsi="Arial;sans-serif"/>
          <w:b w:val="false"/>
          <w:color w:val="000000"/>
          <w:sz w:val="20"/>
          <w:u w:val="single"/>
        </w:rPr>
        <w:t>Falmouth Disposal Group</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Also during the fourth quarter of 2025, the Company decided to significantly reduce trading activity at the Falmouth terminal and actively pursue a sale of the terminal and related assets. The Falmouth disposal group has historically been reported within the marine segment. The Falmouth disposal group does not meet the criteria to be reported as a discontinued operation, however the assets and liabilities within the disposal group met the criteria to be classified as held for sale as of December 31, 2025. </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Falmouth disposal group assets were assessed for impairment under the held for sale impairment model during the fourth quarter of 2025. As a result, an impairment charge of $3.3 million was recognized to reduce the carrying amount of the Falmouth terminal land within the disposal group to its estimated fair value less costs to sell. The remaining carrying value of disposal group assets and liabilities have been reclassified to Other current assets and Accrued expenses and other current liabilities, respectively, within our Condensed Consolidated Balance Sheet. In July 2026, we signed and closed on the sale of the Falmouth terminal and related assets for total proceeds of approximately $1.3 million. We do not expect to recognize a material gain or loss on sale.</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following table summarizes the carrying value of the Land Fuel Transportation and Lubricants and Falmouth disposal group assets and liabilities classified as held for sale (in millions):</w:t>
      </w:r>
    </w:p>
    <w:tbl>
      <w:tblPr>
        <w:tblW w:w="7972" w:type="dxa"/>
        <w:jc w:val="left"/>
        <w:tblInd w:w="0" w:type="dxa"/>
        <w:tblLayout w:type="fixed"/>
        <w:tblCellMar>
          <w:top w:w="28" w:type="dxa"/>
          <w:left w:w="28" w:type="dxa"/>
          <w:bottom w:w="28" w:type="dxa"/>
          <w:right w:w="28" w:type="dxa"/>
        </w:tblCellMar>
      </w:tblPr>
      <w:tblGrid>
        <w:gridCol w:w="1470"/>
        <w:gridCol w:w="1295"/>
        <w:gridCol w:w="1299"/>
        <w:gridCol w:w="109"/>
        <w:gridCol w:w="109"/>
        <w:gridCol w:w="109"/>
        <w:gridCol w:w="381"/>
        <w:gridCol w:w="787"/>
        <w:gridCol w:w="196"/>
        <w:gridCol w:w="109"/>
        <w:gridCol w:w="109"/>
        <w:gridCol w:w="109"/>
        <w:gridCol w:w="393"/>
        <w:gridCol w:w="1207"/>
        <w:gridCol w:w="290"/>
      </w:tblGrid>
      <w:tr>
        <w:trPr/>
        <w:tc>
          <w:tcPr>
            <w:tcW w:w="147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2025</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2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51.1 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assets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108.2 </w:t>
            </w:r>
          </w:p>
        </w:tc>
        <w:tc>
          <w:tcPr>
            <w:tcW w:w="29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Accrued expenses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Long-term portion of finance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liabilities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28.3 </w:t>
            </w:r>
          </w:p>
        </w:tc>
        <w:tc>
          <w:tcPr>
            <w:tcW w:w="2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2025 Acquisitions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On September 3, 2025, we entered into a definitive agreement with Universal Weather and Aviation to acquire their Trip Support Services division ("Universal TSS"). The acquisition closed on November 5, 2025 for total estimated consideration of $207.0 million, subject to customary adjustments relating to net working capital. At closing, $154.4 million was paid in cash and $60.0 million remained payable over the next four years. During the first quarter of 2026, the net working capital adjustments were updated and additional consideration of $8.3 million was paid to the seller. The acquisition was accounted for as a business combination and is reported in the aviation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before="0" w:after="120"/>
        <w:jc w:val="both"/>
        <w:rPr/>
      </w:pPr>
      <w:r>
        <w:rPr/>
      </w:r>
    </w:p>
    <w:p>
      <w:pPr>
        <w:pStyle w:val="TextBody"/>
        <w:bidi w:val="0"/>
        <w:spacing w:before="240" w:after="240"/>
        <w:jc w:val="left"/>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purchase price allocation was finalized during the second quarter of 2026. The following table summarizes the fair value of the aggregate consideration as well as the final allocation of the purchase price to the fair value of the assets acquired and liabilities assumed (in millions):</w:t>
      </w:r>
    </w:p>
    <w:tbl>
      <w:tblPr>
        <w:tblW w:w="6964" w:type="dxa"/>
        <w:jc w:val="left"/>
        <w:tblInd w:w="0" w:type="dxa"/>
        <w:tblLayout w:type="fixed"/>
        <w:tblCellMar>
          <w:top w:w="28" w:type="dxa"/>
          <w:left w:w="28" w:type="dxa"/>
          <w:bottom w:w="28" w:type="dxa"/>
          <w:right w:w="28" w:type="dxa"/>
        </w:tblCellMar>
      </w:tblPr>
      <w:tblGrid>
        <w:gridCol w:w="1882"/>
        <w:gridCol w:w="1653"/>
        <w:gridCol w:w="1655"/>
        <w:gridCol w:w="109"/>
        <w:gridCol w:w="109"/>
        <w:gridCol w:w="109"/>
        <w:gridCol w:w="109"/>
        <w:gridCol w:w="109"/>
        <w:gridCol w:w="109"/>
        <w:gridCol w:w="109"/>
        <w:gridCol w:w="211"/>
        <w:gridCol w:w="646"/>
        <w:gridCol w:w="154"/>
      </w:tblGrid>
      <w:tr>
        <w:trPr/>
        <w:tc>
          <w:tcPr>
            <w:tcW w:w="1882"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Final</w:t>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Consideration: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paid at closing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Working capital adjustment paid to seller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Amount due to sellers</w:t>
            </w:r>
            <w:r>
              <w:rPr>
                <w:color w:val="000000"/>
              </w:rPr>
              <w:t xml:space="preserve"> </w:t>
            </w:r>
            <w:r>
              <w:rPr>
                <w:rFonts w:ascii="Arial;sans-serif" w:hAnsi="Arial;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fair value of consideration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 acquired and liabilities assumed: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plant and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Identifiable intangible assets subject to amortization</w:t>
            </w:r>
            <w:r>
              <w:rPr>
                <w:color w:val="000000"/>
              </w:rPr>
              <w:t xml:space="preserve"> </w:t>
            </w:r>
            <w:r>
              <w:rPr>
                <w:rFonts w:ascii="Arial;sans-serif" w:hAnsi="Arial;sans-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Identifiable intangible assets not subject to amortization</w:t>
            </w:r>
            <w:r>
              <w:rPr>
                <w:color w:val="000000"/>
              </w:rPr>
              <w:t xml:space="preserve"> </w:t>
            </w:r>
            <w:r>
              <w:rPr>
                <w:rFonts w:ascii="Arial;sans-serif" w:hAnsi="Arial;sans-serif"/>
                <w:b w:val="false"/>
                <w:color w:val="000000"/>
                <w:sz w:val="13"/>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Other assets and liabilities, net</w:t>
            </w:r>
            <w:r>
              <w:rPr>
                <w:color w:val="000000"/>
              </w:rPr>
              <w:t xml:space="preserve"> </w:t>
            </w:r>
            <w:r>
              <w:rPr>
                <w:rFonts w:ascii="Arial;sans-serif" w:hAnsi="Arial;sans-serif"/>
                <w:b w:val="false"/>
                <w:color w:val="000000"/>
                <w:sz w:val="13"/>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identifiable assets acquired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Goodwill </w:t>
            </w:r>
            <w:r>
              <w:rPr>
                <w:rFonts w:ascii="Arial;sans-serif" w:hAnsi="Arial;sans-serif"/>
                <w:b w:val="false"/>
                <w:color w:val="000000"/>
                <w:sz w:val="13"/>
              </w:rPr>
              <w:t>(5)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assets acquired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pPr>
      <w:r>
        <w:rPr>
          <w:rFonts w:ascii="Arial;sans-serif" w:hAnsi="Arial;sans-serif"/>
          <w:b w:val="false"/>
          <w:color w:val="000000"/>
          <w:sz w:val="13"/>
        </w:rPr>
        <w:t>(1)</w:t>
      </w:r>
      <w:r>
        <w:rPr>
          <w:rFonts w:ascii="Arial;sans-serif" w:hAnsi="Arial;sans-serif"/>
          <w:b w:val="false"/>
          <w:color w:val="000000"/>
          <w:sz w:val="20"/>
        </w:rPr>
        <w:t>Represents expected payments of $15.0 million per year over each of the next four years, discounted to present value at the date of acquisition.</w:t>
      </w:r>
    </w:p>
    <w:p>
      <w:pPr>
        <w:pStyle w:val="TextBody"/>
        <w:bidi w:val="0"/>
        <w:spacing w:lineRule="auto" w:line="288" w:before="140" w:after="120"/>
        <w:ind w:left="0" w:right="0" w:hanging="360"/>
        <w:jc w:val="both"/>
        <w:rPr/>
      </w:pPr>
      <w:r>
        <w:rPr>
          <w:rFonts w:ascii="Arial;sans-serif" w:hAnsi="Arial;sans-serif"/>
          <w:b w:val="false"/>
          <w:color w:val="000000"/>
          <w:sz w:val="13"/>
        </w:rPr>
        <w:t>(2)</w:t>
      </w:r>
      <w:r>
        <w:rPr>
          <w:rFonts w:ascii="Arial;sans-serif" w:hAnsi="Arial;sans-serif"/>
          <w:b w:val="false"/>
          <w:color w:val="000000"/>
          <w:sz w:val="20"/>
        </w:rPr>
        <w:t>Identifiable intangible assets subject to amortization primarily consist of customer relationships and other identifiable assets which will be amortized over a weighted average life of 18.4 years.</w:t>
      </w:r>
    </w:p>
    <w:p>
      <w:pPr>
        <w:pStyle w:val="TextBody"/>
        <w:bidi w:val="0"/>
        <w:spacing w:lineRule="auto" w:line="288" w:before="140" w:after="120"/>
        <w:ind w:left="0" w:right="0" w:hanging="360"/>
        <w:jc w:val="both"/>
        <w:rPr/>
      </w:pPr>
      <w:r>
        <w:rPr>
          <w:rFonts w:ascii="Arial;sans-serif" w:hAnsi="Arial;sans-serif"/>
          <w:b w:val="false"/>
          <w:color w:val="000000"/>
          <w:sz w:val="13"/>
        </w:rPr>
        <w:t>(3)</w:t>
      </w:r>
      <w:r>
        <w:rPr>
          <w:rFonts w:ascii="Arial;sans-serif" w:hAnsi="Arial;sans-serif"/>
          <w:b w:val="false"/>
          <w:color w:val="000000"/>
          <w:sz w:val="20"/>
        </w:rPr>
        <w:t>Identifiable intangible assets not subject to amortization include trademarks and trade names acquired.</w:t>
      </w:r>
    </w:p>
    <w:p>
      <w:pPr>
        <w:pStyle w:val="TextBody"/>
        <w:bidi w:val="0"/>
        <w:spacing w:lineRule="auto" w:line="288" w:before="140" w:after="120"/>
        <w:ind w:left="0" w:right="0" w:hanging="360"/>
        <w:jc w:val="both"/>
        <w:rPr/>
      </w:pPr>
      <w:r>
        <w:rPr>
          <w:rFonts w:ascii="Arial;sans-serif" w:hAnsi="Arial;sans-serif"/>
          <w:b w:val="false"/>
          <w:color w:val="000000"/>
          <w:sz w:val="13"/>
        </w:rPr>
        <w:t>(4)</w:t>
      </w:r>
      <w:r>
        <w:rPr>
          <w:rFonts w:ascii="Arial;sans-serif" w:hAnsi="Arial;sans-serif"/>
          <w:b w:val="false"/>
          <w:color w:val="000000"/>
          <w:sz w:val="20"/>
        </w:rPr>
        <w:t>Includes the recognition of right of use assets of $1.3 million and lease liabilities of $1.3 million.</w:t>
      </w:r>
    </w:p>
    <w:p>
      <w:pPr>
        <w:pStyle w:val="TextBody"/>
        <w:bidi w:val="0"/>
        <w:spacing w:lineRule="auto" w:line="288" w:before="140" w:after="120"/>
        <w:ind w:left="0" w:right="0" w:hanging="360"/>
        <w:jc w:val="both"/>
        <w:rPr/>
      </w:pPr>
      <w:r>
        <w:rPr>
          <w:rFonts w:ascii="Arial;sans-serif" w:hAnsi="Arial;sans-serif"/>
          <w:b w:val="false"/>
          <w:color w:val="000000"/>
          <w:sz w:val="13"/>
        </w:rPr>
        <w:t>(5)</w:t>
      </w:r>
      <w:r>
        <w:rPr>
          <w:rFonts w:ascii="Arial;sans-serif" w:hAnsi="Arial;sans-serif"/>
          <w:b w:val="false"/>
          <w:color w:val="000000"/>
          <w:sz w:val="20"/>
        </w:rPr>
        <w:t>Goodwill is attributable primarily to the expected synergies and other benefits that we believe will result from combining the acquired operations with the operations of our aviation segment. All of the goodwill assigned to the aviation segment was deductible for tax purposes.</w:t>
      </w:r>
    </w:p>
    <w:p>
      <w:pPr>
        <w:pStyle w:val="TextBody"/>
        <w:bidi w:val="0"/>
        <w:spacing w:lineRule="auto" w:line="288" w:before="140" w:after="120"/>
        <w:jc w:val="both"/>
        <w:rPr>
          <w:rFonts w:ascii="Arial;sans-serif" w:hAnsi="Arial;sans-serif"/>
          <w:b w:val="false"/>
          <w:color w:val="000000"/>
          <w:sz w:val="20"/>
        </w:rPr>
      </w:pPr>
      <w:r>
        <w:rPr>
          <w:rFonts w:ascii="Arial;sans-serif" w:hAnsi="Arial;sans-serif"/>
          <w:b w:val="false"/>
          <w:color w:val="000000"/>
          <w:sz w:val="20"/>
        </w:rPr>
        <w:t>The following presents unaudited pro forma combined financial information of the Company for the three and six months ended June 30, 2025 as if the acquisition of Universal TSS had been completed on January 1, 2024 (in millions):</w:t>
      </w:r>
    </w:p>
    <w:tbl>
      <w:tblPr>
        <w:tblW w:w="10205" w:type="dxa"/>
        <w:jc w:val="left"/>
        <w:tblInd w:w="0" w:type="dxa"/>
        <w:tblLayout w:type="fixed"/>
        <w:tblCellMar>
          <w:top w:w="28" w:type="dxa"/>
          <w:left w:w="28" w:type="dxa"/>
          <w:bottom w:w="28" w:type="dxa"/>
          <w:right w:w="28" w:type="dxa"/>
        </w:tblCellMar>
      </w:tblPr>
      <w:tblGrid>
        <w:gridCol w:w="1358"/>
        <w:gridCol w:w="1193"/>
        <w:gridCol w:w="1197"/>
        <w:gridCol w:w="585"/>
        <w:gridCol w:w="2251"/>
        <w:gridCol w:w="301"/>
        <w:gridCol w:w="109"/>
        <w:gridCol w:w="109"/>
        <w:gridCol w:w="109"/>
        <w:gridCol w:w="491"/>
        <w:gridCol w:w="2139"/>
        <w:gridCol w:w="363"/>
      </w:tblGrid>
      <w:tr>
        <w:trPr/>
        <w:tc>
          <w:tcPr>
            <w:tcW w:w="1358"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213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3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 2025</w:t>
            </w:r>
          </w:p>
        </w:tc>
      </w:tr>
      <w:tr>
        <w:trPr/>
        <w:tc>
          <w:tcPr>
            <w:tcW w:w="3748" w:type="dxa"/>
            <w:gridSpan w:val="3"/>
            <w:tcBorders/>
            <w:vAlign w:val="center"/>
          </w:tcPr>
          <w:p>
            <w:pPr>
              <w:pStyle w:val="TableContents"/>
              <w:bidi w:val="0"/>
              <w:spacing w:before="0" w:after="283"/>
              <w:jc w:val="left"/>
              <w:rPr>
                <w:sz w:val="4"/>
                <w:szCs w:val="4"/>
              </w:rPr>
            </w:pPr>
            <w:r>
              <w:rPr>
                <w:sz w:val="4"/>
                <w:szCs w:val="4"/>
              </w:rPr>
            </w:r>
          </w:p>
        </w:tc>
        <w:tc>
          <w:tcPr>
            <w:tcW w:w="3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3" w:type="dxa"/>
            <w:gridSpan w:val="3"/>
            <w:tcBorders/>
            <w:vAlign w:val="center"/>
          </w:tcPr>
          <w:p>
            <w:pPr>
              <w:pStyle w:val="TableContents"/>
              <w:bidi w:val="0"/>
              <w:spacing w:before="0" w:after="283"/>
              <w:jc w:val="left"/>
              <w:rPr>
                <w:sz w:val="4"/>
                <w:szCs w:val="4"/>
              </w:rPr>
            </w:pPr>
            <w:r>
              <w:rPr>
                <w:sz w:val="4"/>
                <w:szCs w:val="4"/>
              </w:rPr>
            </w:r>
          </w:p>
        </w:tc>
      </w:tr>
      <w:tr>
        <w:trPr/>
        <w:tc>
          <w:tcPr>
            <w:tcW w:w="3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5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9,109.4 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1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18,617.2 </w:t>
            </w:r>
          </w:p>
        </w:tc>
        <w:tc>
          <w:tcPr>
            <w:tcW w:w="3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income (loss) attributable to World Kinect</w:t>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2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1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(355.5)</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The unaudited pro forma combined financial information was based on the historical financial information of Universal TSS and includes (i) incremental amortization expense to be incurred based on the fair values of the identifiable intangible assets acquired; (ii) additional interest expense associated with the incremental borrowings under our Credit Facility (as defined below) to finance the acquisition and the accretion of the discount on the present value of future payments; (iii) nonrecurring transaction costs recognized in connection with the transaction; and (iv) the tax effect of the pro forma adjustments as well as the recognition of income tax expense associated with Universal TSS' historical statements, calculated using statutory tax rates, as Universal TSS was comprised of limited liability companies not subject to federal and state income taxes prior to the acquisition. The unaudited pro forma combined financial information does not necessarily reflect what the combined company's financial condition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before="0" w:after="120"/>
        <w:jc w:val="both"/>
        <w:rPr/>
      </w:pPr>
      <w:r>
        <w:rPr/>
      </w:r>
    </w:p>
    <w:p>
      <w:pPr>
        <w:pStyle w:val="TextBody"/>
        <w:bidi w:val="0"/>
        <w:spacing w:before="240" w:after="240"/>
        <w:jc w:val="left"/>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or results of operations would have been had the transaction and the related financing occurred on the dates indicated. The unaudited pro forma financial information also may not be useful in predicting the future financial condition and results of operations of the combined company following the transaction. In addition, the unaudited pro forma combined financial information does not give effect to any cost savings, operating synergies or revenue synergies that may result from the transaction, or the costs to achieve any such synergies.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2025 Divestitures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On April 9, 2025, we signed and closed on the sale of WFL (UK) Ltd., which represents our U.K. land fuels business (the "Watson Fuels disposal group"), for total proceeds of $42.8 million, of which $23.6 million was collected in cash at closing (the "Watson Fuels sale"). As discussed in Note 5. Fair Value Measurements, during the first quarter of 2025, we recognized an asset impairment charge of $44.5 million with respect to the Watson Fuels asset group assets. The Watson Fuels sale resulted in a pre-tax loss of $81.7 million, net of costs to sell and after the reclassification of cumulative translation losses of $55.1 million, that is included in Other income (expense), net within our Condensed Consolidated Statements of Income and Comprehensive Income for the second quarter of 2025. The related tax benefit of $6.3 million is included within Income tax expense (benefit) within our Condensed Consolidated Statements of Income and Comprehensive Income. Prior to the Watson Fuels sale, the Watson Fuels asset group was reported within our land segment. The Watson Fuels sale did not meet the criteria to be reported as a discontinued operation.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Arial;sans-serif" w:hAnsi="Arial;sans-serif"/>
          <w:b/>
          <w:color w:val="000000"/>
          <w:sz w:val="20"/>
        </w:rPr>
      </w:pPr>
      <w:r>
        <w:rPr>
          <w:rFonts w:ascii="Arial;sans-serif" w:hAnsi="Arial;sans-serif"/>
          <w:b/>
          <w:color w:val="000000"/>
          <w:sz w:val="20"/>
        </w:rPr>
        <w:t>3. Accounts Receivable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Accounts Receivable and Allowance for Credit Losses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When we extend credit on an unsecured basis, our exposure to credit losses depends on the financial condition of our customers and macroeconomic factors beyond our control, such as global economic conditions or adverse impacts in the industries we serve, changes in energy prices and political instability. We actively monitor and manage our credit exposure and work to respond to both changes in our customers' financial conditions and macroeconomic events. Based on the ongoing credit evaluations of our customers, we adjust credit limits based upon payment history and our customers' current creditworthiness. However, because we extend credit on an unsecured basis to most of our customers, there is a possibility that any accounts receivable not collected may ultimately need to be written off.</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We had accounts receivable, net, of $2.9 billion and $2.2 billion and an allowance for expected credit losses, primarily related to accounts receivable, of $50.1 million and $16.6 million, as of June 30, 2026 and December 31, 2025, respectively. Changes to the expected credit loss provision during the six months ended June 30, 2026 resulted from the Company's assessment of reasonable and supportable forward-looking information. These changes were driven by the deteriorating financial condition of certain aviation and marine segment customers, including a marine segment customer which filed for creditor protection during the second quarter of 2026 and is currently operating under court supervision, as well as the impact of exiting certain activities as described in Note 14. Restructuring and Exit Activities. Based on an aging analysis as of June 30, 2026, 95% of our accounts receivable were outstanding less than 60 days.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following table sets forth activities in our allowance for expected credit losses (in millions):</w:t>
      </w:r>
    </w:p>
    <w:tbl>
      <w:tblPr>
        <w:tblW w:w="6852" w:type="dxa"/>
        <w:jc w:val="left"/>
        <w:tblInd w:w="0" w:type="dxa"/>
        <w:tblLayout w:type="fixed"/>
        <w:tblCellMar>
          <w:top w:w="28" w:type="dxa"/>
          <w:left w:w="28" w:type="dxa"/>
          <w:bottom w:w="28" w:type="dxa"/>
          <w:right w:w="28" w:type="dxa"/>
        </w:tblCellMar>
      </w:tblPr>
      <w:tblGrid>
        <w:gridCol w:w="1244"/>
        <w:gridCol w:w="1094"/>
        <w:gridCol w:w="1097"/>
        <w:gridCol w:w="344"/>
        <w:gridCol w:w="883"/>
        <w:gridCol w:w="178"/>
        <w:gridCol w:w="178"/>
        <w:gridCol w:w="178"/>
        <w:gridCol w:w="178"/>
        <w:gridCol w:w="344"/>
        <w:gridCol w:w="883"/>
        <w:gridCol w:w="251"/>
      </w:tblGrid>
      <w:tr>
        <w:trPr/>
        <w:tc>
          <w:tcPr>
            <w:tcW w:w="124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Six Months Ended June 30,</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as of January 1,</w:t>
            </w:r>
          </w:p>
        </w:tc>
        <w:tc>
          <w:tcPr>
            <w:tcW w:w="3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23.7 </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Charges to allowance for credit losses</w:t>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Write-off of uncollectible receivables</w:t>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Recoveries of credit losses</w:t>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Translation adjustments</w:t>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as of June 30,</w:t>
            </w:r>
          </w:p>
        </w:tc>
        <w:tc>
          <w:tcPr>
            <w:tcW w:w="3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50.1 </w:t>
            </w:r>
          </w:p>
        </w:tc>
        <w:tc>
          <w:tcPr>
            <w:tcW w:w="1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23.1 </w:t>
            </w:r>
          </w:p>
        </w:tc>
        <w:tc>
          <w:tcPr>
            <w:tcW w:w="2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before="0" w:after="120"/>
        <w:jc w:val="both"/>
        <w:rPr/>
      </w:pPr>
      <w:r>
        <w:rPr/>
      </w:r>
    </w:p>
    <w:p>
      <w:pPr>
        <w:pStyle w:val="TextBody"/>
        <w:bidi w:val="0"/>
        <w:spacing w:before="240" w:after="240"/>
        <w:jc w:val="left"/>
        <w:rPr/>
      </w:pPr>
      <w:r>
        <w:rPr/>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Receivable Purchase Agreements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We have receivable purchase agreements ("RPAs") that allow for the sale of our qualifying accounts receivable in exchange for cash consideration equal to the total balance, less a discount margin, depending on the outstanding accounts receivable at any given time. Accounts receivable sold under the RPAs are accounted for as sales and excluded from Accounts receivable, net of allowance for credit losses on the accompanying Condensed Consolidated Balance Sheets. Fees paid under the RPAs are recorded within Interest expense and other financing costs, net on the Condensed Consolidated Statements of Income and Comprehensive Income. During the second quarter of 2026, we amended one of our RPAs to increase the facility size.</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During the six months ended June 30, 2026 and 2025, we sold receivables under the RPAs with an aggregate face value of $6.6 billion and $5.6 billion and recognized fees of $15.3 million and $16.5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Arial;sans-serif" w:hAnsi="Arial;sans-serif"/>
          <w:b/>
          <w:color w:val="000000"/>
          <w:sz w:val="20"/>
        </w:rPr>
      </w:pPr>
      <w:r>
        <w:rPr>
          <w:rFonts w:ascii="Arial;sans-serif" w:hAnsi="Arial;sans-serif"/>
          <w:b/>
          <w:color w:val="000000"/>
          <w:sz w:val="20"/>
        </w:rPr>
        <w:t>4. Derivative Instruments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We are exposed to a variety of risks, including, but not limited to, changes in the prices of commodities that we buy or sell, changes in foreign currency exchange rates, changes in interest rates, and the creditworthiness of each of our counterparties. While we attempt to mitigate these fluctuations through hedging, such hedges may not be fully effective.</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Our risk management program includes the following types of derivative instruments: </w:t>
      </w:r>
    </w:p>
    <w:p>
      <w:pPr>
        <w:pStyle w:val="TextBody"/>
        <w:bidi w:val="0"/>
        <w:spacing w:lineRule="auto" w:line="288" w:before="0" w:after="120"/>
        <w:jc w:val="both"/>
        <w:rPr/>
      </w:pPr>
      <w:r>
        <w:rPr>
          <w:rFonts w:ascii="Arial;sans-serif" w:hAnsi="Arial;sans-serif"/>
          <w:b w:val="false"/>
          <w:i/>
          <w:color w:val="000000"/>
          <w:sz w:val="20"/>
        </w:rPr>
        <w:t xml:space="preserve">Fair Value Hedges. </w:t>
      </w:r>
      <w:r>
        <w:rPr>
          <w:rFonts w:ascii="Arial;sans-serif" w:hAnsi="Arial;sans-serif"/>
          <w:b w:val="false"/>
          <w:color w:val="000000"/>
          <w:sz w:val="20"/>
        </w:rPr>
        <w:t>Derivative contracts we hold to hedge the risk of changes in the price of our inventory.</w:t>
      </w:r>
    </w:p>
    <w:p>
      <w:pPr>
        <w:pStyle w:val="TextBody"/>
        <w:bidi w:val="0"/>
        <w:spacing w:lineRule="auto" w:line="288" w:before="0" w:after="120"/>
        <w:jc w:val="both"/>
        <w:rPr/>
      </w:pPr>
      <w:r>
        <w:rPr>
          <w:rFonts w:ascii="Arial;sans-serif" w:hAnsi="Arial;sans-serif"/>
          <w:b w:val="false"/>
          <w:i/>
          <w:color w:val="000000"/>
          <w:sz w:val="20"/>
        </w:rPr>
        <w:t xml:space="preserve">Cash Flow Hedges. </w:t>
      </w:r>
      <w:r>
        <w:rPr>
          <w:rFonts w:ascii="Arial;sans-serif" w:hAnsi="Arial;sans-serif"/>
          <w:b w:val="false"/>
          <w:color w:val="000000"/>
          <w:sz w:val="20"/>
        </w:rPr>
        <w:t>Derivative contracts we execute to mitigate the risk of price and interest rate volatility in forecasted transactions.</w:t>
      </w:r>
    </w:p>
    <w:p>
      <w:pPr>
        <w:pStyle w:val="TextBody"/>
        <w:bidi w:val="0"/>
        <w:spacing w:lineRule="auto" w:line="288" w:before="0" w:after="120"/>
        <w:jc w:val="both"/>
        <w:rPr/>
      </w:pPr>
      <w:r>
        <w:rPr>
          <w:rFonts w:ascii="Arial;sans-serif" w:hAnsi="Arial;sans-serif"/>
          <w:b w:val="false"/>
          <w:i/>
          <w:color w:val="000000"/>
          <w:sz w:val="20"/>
        </w:rPr>
        <w:t xml:space="preserve">Non-designated Derivatives. </w:t>
      </w:r>
      <w:r>
        <w:rPr>
          <w:rFonts w:ascii="Arial;sans-serif" w:hAnsi="Arial;sans-serif"/>
          <w:b w:val="false"/>
          <w:color w:val="000000"/>
          <w:sz w:val="20"/>
        </w:rPr>
        <w:t>Derivatives we primarily transact to mitigate the risk of market price fluctuations in swaps or futures contracts, as well as certain forward fixed price purchase and sale contracts to hedge the risk of currency rate fluctuations and for portfolio optimization.</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following table summarizes the gross notional values of our derivative contracts used for risk management purposes (in millions):</w:t>
      </w:r>
    </w:p>
    <w:tbl>
      <w:tblPr>
        <w:tblW w:w="6145" w:type="dxa"/>
        <w:jc w:val="left"/>
        <w:tblInd w:w="0" w:type="dxa"/>
        <w:tblLayout w:type="fixed"/>
        <w:tblCellMar>
          <w:top w:w="28" w:type="dxa"/>
          <w:left w:w="28" w:type="dxa"/>
          <w:bottom w:w="28" w:type="dxa"/>
          <w:right w:w="28" w:type="dxa"/>
        </w:tblCellMar>
      </w:tblPr>
      <w:tblGrid>
        <w:gridCol w:w="1293"/>
        <w:gridCol w:w="1136"/>
        <w:gridCol w:w="1141"/>
        <w:gridCol w:w="109"/>
        <w:gridCol w:w="109"/>
        <w:gridCol w:w="109"/>
        <w:gridCol w:w="169"/>
        <w:gridCol w:w="169"/>
        <w:gridCol w:w="173"/>
        <w:gridCol w:w="109"/>
        <w:gridCol w:w="109"/>
        <w:gridCol w:w="109"/>
        <w:gridCol w:w="412"/>
        <w:gridCol w:w="412"/>
        <w:gridCol w:w="586"/>
      </w:tblGrid>
      <w:tr>
        <w:trPr/>
        <w:tc>
          <w:tcPr>
            <w:tcW w:w="1293"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333333"/>
                <w:sz w:val="20"/>
              </w:rPr>
            </w:pPr>
            <w:r>
              <w:rPr>
                <w:rFonts w:ascii="Arial;sans-serif" w:hAnsi="Arial;sans-serif"/>
                <w:b/>
                <w:color w:val="333333"/>
                <w:sz w:val="20"/>
              </w:rPr>
              <w:t>Unit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June 30, 2026</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Commodity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BBL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59.2 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BBL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(61.7)</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Foreign currency exchange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 U.S. dollar, buy other currencies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USD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(639.3)</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Buy U.S. dollar, sell other currencies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USD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792.4 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majority of our foreign currency exchange contracts and the volume related to our commodities contracts are expected to settle within the next twelve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before="0" w:after="120"/>
        <w:jc w:val="both"/>
        <w:rPr/>
      </w:pPr>
      <w:r>
        <w:rPr/>
      </w:r>
    </w:p>
    <w:p>
      <w:pPr>
        <w:pStyle w:val="TextBody"/>
        <w:bidi w:val="0"/>
        <w:spacing w:before="240" w:after="240"/>
        <w:jc w:val="left"/>
        <w:rPr/>
      </w:pPr>
      <w:r>
        <w:rPr/>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Assets and Liabilities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following table presents the gross fair value of our derivative instruments and their locations on the Condensed Consolidated Balance Sheets (in millions):</w:t>
      </w:r>
    </w:p>
    <w:tbl>
      <w:tblPr>
        <w:tblW w:w="10205" w:type="dxa"/>
        <w:jc w:val="center"/>
        <w:tblInd w:w="0" w:type="dxa"/>
        <w:tblLayout w:type="fixed"/>
        <w:tblCellMar>
          <w:top w:w="28" w:type="dxa"/>
          <w:left w:w="28" w:type="dxa"/>
          <w:bottom w:w="28" w:type="dxa"/>
          <w:right w:w="28" w:type="dxa"/>
        </w:tblCellMar>
      </w:tblPr>
      <w:tblGrid>
        <w:gridCol w:w="582"/>
        <w:gridCol w:w="512"/>
        <w:gridCol w:w="515"/>
        <w:gridCol w:w="897"/>
        <w:gridCol w:w="897"/>
        <w:gridCol w:w="899"/>
        <w:gridCol w:w="109"/>
        <w:gridCol w:w="109"/>
        <w:gridCol w:w="109"/>
        <w:gridCol w:w="231"/>
        <w:gridCol w:w="658"/>
        <w:gridCol w:w="129"/>
        <w:gridCol w:w="109"/>
        <w:gridCol w:w="109"/>
        <w:gridCol w:w="109"/>
        <w:gridCol w:w="283"/>
        <w:gridCol w:w="804"/>
        <w:gridCol w:w="159"/>
        <w:gridCol w:w="109"/>
        <w:gridCol w:w="109"/>
        <w:gridCol w:w="109"/>
        <w:gridCol w:w="231"/>
        <w:gridCol w:w="658"/>
        <w:gridCol w:w="128"/>
        <w:gridCol w:w="113"/>
        <w:gridCol w:w="113"/>
        <w:gridCol w:w="113"/>
        <w:gridCol w:w="283"/>
        <w:gridCol w:w="793"/>
        <w:gridCol w:w="226"/>
      </w:tblGrid>
      <w:tr>
        <w:trPr/>
        <w:tc>
          <w:tcPr>
            <w:tcW w:w="58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1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3"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Condensed Consolidated Balance Sheets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Derivative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Derivative Liabilities</w:t>
            </w:r>
          </w:p>
        </w:tc>
      </w:tr>
      <w:tr>
        <w:trPr/>
        <w:tc>
          <w:tcPr>
            <w:tcW w:w="1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Derivative Instruments</w:t>
            </w:r>
          </w:p>
        </w:tc>
        <w:tc>
          <w:tcPr>
            <w:tcW w:w="2693"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4302"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Derivatives designated as hedging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9" w:type="dxa"/>
            <w:gridSpan w:val="3"/>
            <w:tcBorders/>
            <w:vAlign w:val="center"/>
          </w:tcPr>
          <w:p>
            <w:pPr>
              <w:pStyle w:val="TableContents"/>
              <w:bidi w:val="0"/>
              <w:spacing w:before="0" w:after="283"/>
              <w:jc w:val="left"/>
              <w:rPr>
                <w:sz w:val="4"/>
                <w:szCs w:val="4"/>
              </w:rPr>
            </w:pPr>
            <w:r>
              <w:rPr>
                <w:sz w:val="4"/>
                <w:szCs w:val="4"/>
              </w:rPr>
            </w:r>
          </w:p>
        </w:tc>
        <w:tc>
          <w:tcPr>
            <w:tcW w:w="26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r>
      <w:tr>
        <w:trPr/>
        <w:tc>
          <w:tcPr>
            <w:tcW w:w="1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Commodity contracts</w:t>
            </w:r>
          </w:p>
        </w:tc>
        <w:tc>
          <w:tcPr>
            <w:tcW w:w="2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Short-term derivative liabilities,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9" w:type="dxa"/>
            <w:gridSpan w:val="3"/>
            <w:tcBorders/>
            <w:vAlign w:val="center"/>
          </w:tcPr>
          <w:p>
            <w:pPr>
              <w:pStyle w:val="TableContents"/>
              <w:bidi w:val="0"/>
              <w:spacing w:before="0" w:after="283"/>
              <w:jc w:val="left"/>
              <w:rPr>
                <w:sz w:val="4"/>
                <w:szCs w:val="4"/>
              </w:rPr>
            </w:pPr>
            <w:r>
              <w:rPr>
                <w:sz w:val="4"/>
                <w:szCs w:val="4"/>
              </w:rPr>
            </w:r>
          </w:p>
        </w:tc>
        <w:tc>
          <w:tcPr>
            <w:tcW w:w="26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r>
      <w:tr>
        <w:trPr/>
        <w:tc>
          <w:tcPr>
            <w:tcW w:w="1609" w:type="dxa"/>
            <w:gridSpan w:val="3"/>
            <w:tcBorders/>
            <w:vAlign w:val="center"/>
          </w:tcPr>
          <w:p>
            <w:pPr>
              <w:pStyle w:val="TableContents"/>
              <w:bidi w:val="0"/>
              <w:spacing w:before="0" w:after="283"/>
              <w:jc w:val="left"/>
              <w:rPr>
                <w:sz w:val="4"/>
                <w:szCs w:val="4"/>
              </w:rPr>
            </w:pPr>
            <w:r>
              <w:rPr>
                <w:sz w:val="4"/>
                <w:szCs w:val="4"/>
              </w:rPr>
            </w:r>
          </w:p>
        </w:tc>
        <w:tc>
          <w:tcPr>
            <w:tcW w:w="26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r>
      <w:tr>
        <w:trPr/>
        <w:tc>
          <w:tcPr>
            <w:tcW w:w="1609" w:type="dxa"/>
            <w:gridSpan w:val="3"/>
            <w:tcBorders/>
            <w:vAlign w:val="center"/>
          </w:tcPr>
          <w:p>
            <w:pPr>
              <w:pStyle w:val="TableContents"/>
              <w:bidi w:val="0"/>
              <w:spacing w:before="0" w:after="283"/>
              <w:jc w:val="left"/>
              <w:rPr>
                <w:sz w:val="4"/>
                <w:szCs w:val="4"/>
              </w:rPr>
            </w:pPr>
            <w:r>
              <w:rPr>
                <w:sz w:val="4"/>
                <w:szCs w:val="4"/>
              </w:rPr>
            </w:r>
          </w:p>
        </w:tc>
        <w:tc>
          <w:tcPr>
            <w:tcW w:w="26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r>
      <w:tr>
        <w:trPr/>
        <w:tc>
          <w:tcPr>
            <w:tcW w:w="1609" w:type="dxa"/>
            <w:gridSpan w:val="3"/>
            <w:tcBorders/>
            <w:vAlign w:val="center"/>
          </w:tcPr>
          <w:p>
            <w:pPr>
              <w:pStyle w:val="TableContents"/>
              <w:bidi w:val="0"/>
              <w:spacing w:before="0" w:after="283"/>
              <w:jc w:val="left"/>
              <w:rPr>
                <w:sz w:val="4"/>
                <w:szCs w:val="4"/>
              </w:rPr>
            </w:pPr>
            <w:r>
              <w:rPr>
                <w:sz w:val="4"/>
                <w:szCs w:val="4"/>
              </w:rPr>
            </w:r>
          </w:p>
        </w:tc>
        <w:tc>
          <w:tcPr>
            <w:tcW w:w="26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r>
      <w:tr>
        <w:trPr/>
        <w:tc>
          <w:tcPr>
            <w:tcW w:w="1609" w:type="dxa"/>
            <w:gridSpan w:val="3"/>
            <w:tcBorders/>
            <w:vAlign w:val="center"/>
          </w:tcPr>
          <w:p>
            <w:pPr>
              <w:pStyle w:val="TableContents"/>
              <w:bidi w:val="0"/>
              <w:spacing w:before="0" w:after="283"/>
              <w:jc w:val="left"/>
              <w:rPr>
                <w:sz w:val="4"/>
                <w:szCs w:val="4"/>
              </w:rPr>
            </w:pPr>
            <w:r>
              <w:rPr>
                <w:sz w:val="4"/>
                <w:szCs w:val="4"/>
              </w:rPr>
            </w:r>
          </w:p>
        </w:tc>
        <w:tc>
          <w:tcPr>
            <w:tcW w:w="26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r>
      <w:tr>
        <w:trPr/>
        <w:tc>
          <w:tcPr>
            <w:tcW w:w="1609" w:type="dxa"/>
            <w:gridSpan w:val="3"/>
            <w:tcBorders/>
            <w:vAlign w:val="center"/>
          </w:tcPr>
          <w:p>
            <w:pPr>
              <w:pStyle w:val="TableContents"/>
              <w:bidi w:val="0"/>
              <w:spacing w:before="0" w:after="283"/>
              <w:jc w:val="left"/>
              <w:rPr>
                <w:sz w:val="4"/>
                <w:szCs w:val="4"/>
              </w:rPr>
            </w:pPr>
            <w:r>
              <w:rPr>
                <w:sz w:val="4"/>
                <w:szCs w:val="4"/>
              </w:rPr>
            </w:r>
          </w:p>
        </w:tc>
        <w:tc>
          <w:tcPr>
            <w:tcW w:w="26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r>
      <w:tr>
        <w:trPr/>
        <w:tc>
          <w:tcPr>
            <w:tcW w:w="430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derivatives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101.7 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108.0 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Derivatives not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Commodity contracts</w:t>
            </w:r>
          </w:p>
        </w:tc>
        <w:tc>
          <w:tcPr>
            <w:tcW w:w="2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Short-term derivative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Short-term derivative liabilities,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contracts</w:t>
            </w:r>
          </w:p>
        </w:tc>
        <w:tc>
          <w:tcPr>
            <w:tcW w:w="2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Short-term derivative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9" w:type="dxa"/>
            <w:gridSpan w:val="3"/>
            <w:tcBorders/>
            <w:vAlign w:val="center"/>
          </w:tcPr>
          <w:p>
            <w:pPr>
              <w:pStyle w:val="TableContents"/>
              <w:bidi w:val="0"/>
              <w:spacing w:before="0" w:after="283"/>
              <w:jc w:val="left"/>
              <w:rPr>
                <w:sz w:val="4"/>
                <w:szCs w:val="4"/>
              </w:rPr>
            </w:pPr>
            <w:r>
              <w:rPr>
                <w:sz w:val="4"/>
                <w:szCs w:val="4"/>
              </w:rPr>
            </w:r>
          </w:p>
        </w:tc>
        <w:tc>
          <w:tcPr>
            <w:tcW w:w="26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r>
      <w:tr>
        <w:trPr/>
        <w:tc>
          <w:tcPr>
            <w:tcW w:w="1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Short-term derivative liabilities,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derivatives not designated as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283.7 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272.4 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250.6 </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214.3 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385.4 </w:t>
            </w:r>
          </w:p>
        </w:tc>
        <w:tc>
          <w:tcPr>
            <w:tcW w:w="1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291.3 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358.6 </w:t>
            </w:r>
          </w:p>
        </w:tc>
        <w:tc>
          <w:tcPr>
            <w:tcW w:w="1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228.4 </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For information regarding our derivative instruments measured at fair value after netting and collateral, see Note 5. Fair Value Measurements.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following amounts were recorded on our Condensed Consolidated Balance Sheets related to cumulative basis adjustments for fair value hedges (in millions):</w:t>
      </w:r>
    </w:p>
    <w:tbl>
      <w:tblPr>
        <w:tblW w:w="10205" w:type="dxa"/>
        <w:jc w:val="left"/>
        <w:tblInd w:w="0" w:type="dxa"/>
        <w:tblLayout w:type="fixed"/>
        <w:tblCellMar>
          <w:top w:w="28" w:type="dxa"/>
          <w:left w:w="28" w:type="dxa"/>
          <w:bottom w:w="28" w:type="dxa"/>
          <w:right w:w="28" w:type="dxa"/>
        </w:tblCellMar>
      </w:tblPr>
      <w:tblGrid>
        <w:gridCol w:w="1055"/>
        <w:gridCol w:w="925"/>
        <w:gridCol w:w="930"/>
        <w:gridCol w:w="109"/>
        <w:gridCol w:w="109"/>
        <w:gridCol w:w="109"/>
        <w:gridCol w:w="260"/>
        <w:gridCol w:w="668"/>
        <w:gridCol w:w="134"/>
        <w:gridCol w:w="134"/>
        <w:gridCol w:w="134"/>
        <w:gridCol w:w="134"/>
        <w:gridCol w:w="289"/>
        <w:gridCol w:w="668"/>
        <w:gridCol w:w="134"/>
        <w:gridCol w:w="109"/>
        <w:gridCol w:w="109"/>
        <w:gridCol w:w="109"/>
        <w:gridCol w:w="435"/>
        <w:gridCol w:w="900"/>
        <w:gridCol w:w="225"/>
        <w:gridCol w:w="225"/>
        <w:gridCol w:w="225"/>
        <w:gridCol w:w="225"/>
        <w:gridCol w:w="542"/>
        <w:gridCol w:w="980"/>
        <w:gridCol w:w="329"/>
      </w:tblGrid>
      <w:tr>
        <w:trPr/>
        <w:tc>
          <w:tcPr>
            <w:tcW w:w="105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Line item in the Condensed Consolidated Balance Sheets in which the hedged item is included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Carrying Amount of Hedged Assets/(Liabilities)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Cumulative Amount of Fair Value Hedging Adjustment Included in the Carrying Amount of the Hedged Asset/(Liabilities)</w:t>
            </w:r>
          </w:p>
        </w:tc>
      </w:tr>
      <w:tr>
        <w:trPr/>
        <w:tc>
          <w:tcPr>
            <w:tcW w:w="29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6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42.9 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73.3 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3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before="0" w:after="120"/>
        <w:jc w:val="both"/>
        <w:rPr/>
      </w:pPr>
      <w:r>
        <w:rPr/>
      </w:r>
    </w:p>
    <w:p>
      <w:pPr>
        <w:pStyle w:val="TextBody"/>
        <w:bidi w:val="0"/>
        <w:spacing w:before="240" w:after="240"/>
        <w:jc w:val="left"/>
        <w:rPr/>
      </w:pPr>
      <w:r>
        <w:rPr/>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Earnings and Other Comprehensive Income (Loss)</w:t>
      </w:r>
    </w:p>
    <w:p>
      <w:pPr>
        <w:pStyle w:val="TextBody"/>
        <w:bidi w:val="0"/>
        <w:spacing w:lineRule="auto" w:line="288" w:before="240" w:after="283"/>
        <w:jc w:val="left"/>
        <w:rPr>
          <w:rFonts w:ascii="Arial;sans-serif" w:hAnsi="Arial;sans-serif"/>
          <w:b w:val="false"/>
          <w:color w:val="000000"/>
          <w:sz w:val="20"/>
          <w:u w:val="single"/>
        </w:rPr>
      </w:pPr>
      <w:r>
        <w:rPr>
          <w:rFonts w:ascii="Arial;sans-serif" w:hAnsi="Arial;sans-serif"/>
          <w:b w:val="false"/>
          <w:color w:val="000000"/>
          <w:sz w:val="20"/>
          <w:u w:val="single"/>
        </w:rPr>
        <w:t>Derivatives Designated as Hedging Instruments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following table presents, on a pre-tax basis, the location and amount of gains (losses) on fair value and cash flow hedges recognized in net income (loss) in our Condensed Consolidated Statements of Income and Comprehensive Income (in millions):</w:t>
      </w:r>
    </w:p>
    <w:tbl>
      <w:tblPr>
        <w:tblW w:w="10205" w:type="dxa"/>
        <w:jc w:val="left"/>
        <w:tblInd w:w="0" w:type="dxa"/>
        <w:tblLayout w:type="fixed"/>
        <w:tblCellMar>
          <w:top w:w="28" w:type="dxa"/>
          <w:left w:w="28" w:type="dxa"/>
          <w:bottom w:w="28" w:type="dxa"/>
          <w:right w:w="28" w:type="dxa"/>
        </w:tblCellMar>
      </w:tblPr>
      <w:tblGrid>
        <w:gridCol w:w="898"/>
        <w:gridCol w:w="406"/>
        <w:gridCol w:w="410"/>
        <w:gridCol w:w="109"/>
        <w:gridCol w:w="109"/>
        <w:gridCol w:w="109"/>
        <w:gridCol w:w="196"/>
        <w:gridCol w:w="781"/>
        <w:gridCol w:w="109"/>
        <w:gridCol w:w="109"/>
        <w:gridCol w:w="109"/>
        <w:gridCol w:w="109"/>
        <w:gridCol w:w="199"/>
        <w:gridCol w:w="794"/>
        <w:gridCol w:w="110"/>
        <w:gridCol w:w="109"/>
        <w:gridCol w:w="109"/>
        <w:gridCol w:w="109"/>
        <w:gridCol w:w="266"/>
        <w:gridCol w:w="634"/>
        <w:gridCol w:w="149"/>
        <w:gridCol w:w="109"/>
        <w:gridCol w:w="109"/>
        <w:gridCol w:w="109"/>
        <w:gridCol w:w="196"/>
        <w:gridCol w:w="781"/>
        <w:gridCol w:w="109"/>
        <w:gridCol w:w="109"/>
        <w:gridCol w:w="109"/>
        <w:gridCol w:w="109"/>
        <w:gridCol w:w="199"/>
        <w:gridCol w:w="794"/>
        <w:gridCol w:w="110"/>
        <w:gridCol w:w="109"/>
        <w:gridCol w:w="109"/>
        <w:gridCol w:w="109"/>
        <w:gridCol w:w="262"/>
        <w:gridCol w:w="625"/>
        <w:gridCol w:w="215"/>
      </w:tblGrid>
      <w:tr>
        <w:trPr/>
        <w:tc>
          <w:tcPr>
            <w:tcW w:w="898"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1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r>
          </w:p>
        </w:tc>
      </w:tr>
      <w:tr>
        <w:trPr/>
        <w:tc>
          <w:tcPr>
            <w:tcW w:w="1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2"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2025</w:t>
            </w:r>
          </w:p>
        </w:tc>
      </w:tr>
      <w:tr>
        <w:trPr/>
        <w:tc>
          <w:tcPr>
            <w:tcW w:w="1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Cost of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Interest expense and other financing costs,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Cost of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Interest expense and other financing costs, net</w:t>
            </w:r>
          </w:p>
        </w:tc>
      </w:tr>
      <w:tr>
        <w:trPr/>
        <w:tc>
          <w:tcPr>
            <w:tcW w:w="1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amounts of income and expense line items in which the effects of fair value or cash flow hedged are recorded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13,591.2 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13,226.0 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9,043.3 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8,810.9 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25.7 </w:t>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Gains (losses) on fair value hedge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Commodity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Hedged item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Derivatives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1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Gains (losses) on cash flow hedge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Commodity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Amount of gain (loss) reclassified from Accumulated other comprehensive income (loss) into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1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Interest rate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Amount of gain (loss) reclassified from Accumulated other comprehensive income (loss) into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1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amount of income and expense line items excluding the impact of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13,611.4 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13,198.4 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9,053.2 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8,814.2 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25.7 </w:t>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r>
          </w:p>
        </w:tc>
      </w:tr>
      <w:tr>
        <w:trPr/>
        <w:tc>
          <w:tcPr>
            <w:tcW w:w="1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2"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2025</w:t>
            </w:r>
          </w:p>
        </w:tc>
      </w:tr>
      <w:tr>
        <w:trPr/>
        <w:tc>
          <w:tcPr>
            <w:tcW w:w="1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Cost of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Interest expense and other financing costs,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Cost of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Interest expense and other financing costs, net</w:t>
            </w:r>
          </w:p>
        </w:tc>
      </w:tr>
      <w:tr>
        <w:trPr/>
        <w:tc>
          <w:tcPr>
            <w:tcW w:w="1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amounts of income and expense line items in which the effects of fair value or cash flow hedged are recorded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23,276.2 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22,639.8 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56.9 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18,495.8 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18,033.0 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48.5 </w:t>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Gains (losses) on fair value hedge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Commodity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Hedged item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Derivatives designated as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1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Gains (losses) on cash flow hedge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Commodity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Amount of gain (loss) reclassified from Accumulated other comprehensive income (loss) into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1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rate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Amount of gain (loss) reclassified from Accumulated other comprehensive income (loss) into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1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amount of income and expense line items excluding the impact of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23,300.5 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22,607.2 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56.9 </w:t>
            </w:r>
          </w:p>
        </w:tc>
        <w:tc>
          <w:tcPr>
            <w:tcW w:w="1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18,505.5 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18,034.8 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51.4 </w:t>
            </w:r>
          </w:p>
        </w:tc>
        <w:tc>
          <w:tcPr>
            <w:tcW w:w="2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before="0" w:after="120"/>
        <w:jc w:val="both"/>
        <w:rPr/>
      </w:pPr>
      <w:r>
        <w:rPr/>
      </w:r>
    </w:p>
    <w:p>
      <w:pPr>
        <w:pStyle w:val="TextBody"/>
        <w:bidi w:val="0"/>
        <w:spacing w:before="240" w:after="240"/>
        <w:jc w:val="left"/>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following table presents, on a pre-tax basis, the amounts not recorded in Accumulated other comprehensive income (loss) due to intra-period settlement but recognized in Revenue and Cost of revenue in our Condensed Consolidated Statements of Income and Comprehensive Income (in millions):</w:t>
      </w:r>
    </w:p>
    <w:tbl>
      <w:tblPr>
        <w:tblW w:w="10205" w:type="dxa"/>
        <w:jc w:val="left"/>
        <w:tblInd w:w="0" w:type="dxa"/>
        <w:tblLayout w:type="fixed"/>
        <w:tblCellMar>
          <w:top w:w="28" w:type="dxa"/>
          <w:left w:w="28" w:type="dxa"/>
          <w:bottom w:w="28" w:type="dxa"/>
          <w:right w:w="28" w:type="dxa"/>
        </w:tblCellMar>
      </w:tblPr>
      <w:tblGrid>
        <w:gridCol w:w="1321"/>
        <w:gridCol w:w="1160"/>
        <w:gridCol w:w="1162"/>
        <w:gridCol w:w="109"/>
        <w:gridCol w:w="109"/>
        <w:gridCol w:w="109"/>
        <w:gridCol w:w="342"/>
        <w:gridCol w:w="342"/>
        <w:gridCol w:w="344"/>
        <w:gridCol w:w="109"/>
        <w:gridCol w:w="109"/>
        <w:gridCol w:w="109"/>
        <w:gridCol w:w="242"/>
        <w:gridCol w:w="642"/>
        <w:gridCol w:w="125"/>
        <w:gridCol w:w="125"/>
        <w:gridCol w:w="125"/>
        <w:gridCol w:w="125"/>
        <w:gridCol w:w="242"/>
        <w:gridCol w:w="521"/>
        <w:gridCol w:w="125"/>
        <w:gridCol w:w="109"/>
        <w:gridCol w:w="109"/>
        <w:gridCol w:w="109"/>
        <w:gridCol w:w="237"/>
        <w:gridCol w:w="627"/>
        <w:gridCol w:w="122"/>
        <w:gridCol w:w="122"/>
        <w:gridCol w:w="122"/>
        <w:gridCol w:w="122"/>
        <w:gridCol w:w="237"/>
        <w:gridCol w:w="509"/>
        <w:gridCol w:w="183"/>
      </w:tblGrid>
      <w:tr>
        <w:trPr/>
        <w:tc>
          <w:tcPr>
            <w:tcW w:w="1321"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643" w:type="dxa"/>
            <w:gridSpan w:val="3"/>
            <w:vMerge w:val="restart"/>
            <w:tcBorders/>
            <w:tcMar>
              <w:top w:w="0" w:type="dxa"/>
              <w:left w:w="0" w:type="dxa"/>
              <w:bottom w:w="0" w:type="dxa"/>
              <w:right w:w="0" w:type="dxa"/>
            </w:tcMar>
            <w:vAlign w:val="center"/>
          </w:tcPr>
          <w:p>
            <w:pPr>
              <w:pStyle w:val="TableContents"/>
              <w:bidi w:val="0"/>
              <w:spacing w:lineRule="auto" w:line="240" w:before="120" w:after="283"/>
              <w:ind w:left="0" w:right="0" w:firstLine="360"/>
              <w:jc w:val="center"/>
              <w:rPr>
                <w:rFonts w:ascii="Arial;sans-serif" w:hAnsi="Arial;sans-serif"/>
                <w:b/>
                <w:color w:val="000000"/>
                <w:sz w:val="20"/>
              </w:rPr>
            </w:pPr>
            <w:r>
              <w:rPr>
                <w:rFonts w:ascii="Arial;sans-serif" w:hAnsi="Arial;sans-serif"/>
                <w:b/>
                <w:color w:val="000000"/>
                <w:sz w:val="20"/>
              </w:rPr>
              <w:t>Gain (Loss) Not Recorded in Accumulated other comprehensive income (loss) Due to Intra-Period Settlement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Six Months Ended June 30,</w:t>
            </w:r>
          </w:p>
        </w:tc>
      </w:tr>
      <w:tr>
        <w:trPr/>
        <w:tc>
          <w:tcPr>
            <w:tcW w:w="364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364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Commodity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Commodity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For the six months ended June 30, 2026 and 2025, there were no gains or losses recognized in earnings related to our fair value or cash flow hedges that were excluded from the assessment of hedge effectiveness.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As of June 30, 2026, on a pre-tax basis, $16.9 million and $2.2 million are scheduled to be reclassified from Accumulated other comprehensive income (loss) over the next twelve months as a decrease to Revenue and an increase to Cost of revenue related to designated commodity cash flow hedges that will mature within the next twelve months.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following tables present the effect and financial statement location of our derivative instruments in cash flow hedging relationships on Accumulated other comprehensive income (loss) and in our Condensed Consolidated Statements of Income and Comprehensive Income (in millions):</w:t>
      </w:r>
    </w:p>
    <w:tbl>
      <w:tblPr>
        <w:tblW w:w="10205" w:type="dxa"/>
        <w:jc w:val="left"/>
        <w:tblInd w:w="0" w:type="dxa"/>
        <w:tblLayout w:type="fixed"/>
        <w:tblCellMar>
          <w:top w:w="28" w:type="dxa"/>
          <w:left w:w="28" w:type="dxa"/>
          <w:bottom w:w="28" w:type="dxa"/>
          <w:right w:w="28" w:type="dxa"/>
        </w:tblCellMar>
      </w:tblPr>
      <w:tblGrid>
        <w:gridCol w:w="1646"/>
        <w:gridCol w:w="1446"/>
        <w:gridCol w:w="1452"/>
        <w:gridCol w:w="109"/>
        <w:gridCol w:w="109"/>
        <w:gridCol w:w="109"/>
        <w:gridCol w:w="266"/>
        <w:gridCol w:w="551"/>
        <w:gridCol w:w="137"/>
        <w:gridCol w:w="137"/>
        <w:gridCol w:w="137"/>
        <w:gridCol w:w="137"/>
        <w:gridCol w:w="266"/>
        <w:gridCol w:w="584"/>
        <w:gridCol w:w="137"/>
        <w:gridCol w:w="109"/>
        <w:gridCol w:w="109"/>
        <w:gridCol w:w="109"/>
        <w:gridCol w:w="235"/>
        <w:gridCol w:w="629"/>
        <w:gridCol w:w="121"/>
        <w:gridCol w:w="121"/>
        <w:gridCol w:w="121"/>
        <w:gridCol w:w="121"/>
        <w:gridCol w:w="235"/>
        <w:gridCol w:w="511"/>
        <w:gridCol w:w="561"/>
      </w:tblGrid>
      <w:tr>
        <w:trPr/>
        <w:tc>
          <w:tcPr>
            <w:tcW w:w="1646"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454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Amount of Gain (Loss) Recognized in Accumulated other comprehensive income (loss), Net of Income Tax (Expense)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Six Months Ended June 30,</w:t>
            </w:r>
          </w:p>
        </w:tc>
      </w:tr>
      <w:tr>
        <w:trPr/>
        <w:tc>
          <w:tcPr>
            <w:tcW w:w="454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45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Commodity contracts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w:t>
            </w:r>
          </w:p>
        </w:tc>
        <w:tc>
          <w:tcPr>
            <w:tcW w:w="5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Commodity contracts (Cost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gain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1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w:t>
            </w:r>
          </w:p>
        </w:tc>
        <w:tc>
          <w:tcPr>
            <w:tcW w:w="1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(41.2)</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w:t>
            </w:r>
          </w:p>
        </w:tc>
        <w:tc>
          <w:tcPr>
            <w:tcW w:w="5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169"/>
        <w:gridCol w:w="1027"/>
        <w:gridCol w:w="1031"/>
        <w:gridCol w:w="109"/>
        <w:gridCol w:w="109"/>
        <w:gridCol w:w="109"/>
        <w:gridCol w:w="451"/>
        <w:gridCol w:w="451"/>
        <w:gridCol w:w="453"/>
        <w:gridCol w:w="109"/>
        <w:gridCol w:w="109"/>
        <w:gridCol w:w="109"/>
        <w:gridCol w:w="232"/>
        <w:gridCol w:w="608"/>
        <w:gridCol w:w="119"/>
        <w:gridCol w:w="119"/>
        <w:gridCol w:w="119"/>
        <w:gridCol w:w="119"/>
        <w:gridCol w:w="232"/>
        <w:gridCol w:w="493"/>
        <w:gridCol w:w="119"/>
        <w:gridCol w:w="109"/>
        <w:gridCol w:w="109"/>
        <w:gridCol w:w="109"/>
        <w:gridCol w:w="222"/>
        <w:gridCol w:w="581"/>
        <w:gridCol w:w="114"/>
        <w:gridCol w:w="114"/>
        <w:gridCol w:w="114"/>
        <w:gridCol w:w="114"/>
        <w:gridCol w:w="222"/>
        <w:gridCol w:w="470"/>
        <w:gridCol w:w="531"/>
      </w:tblGrid>
      <w:tr>
        <w:trPr/>
        <w:tc>
          <w:tcPr>
            <w:tcW w:w="1169"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322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Amount of Gain (Loss) Reclassified from Accumulated other comprehensive income (loss) into Net income (loss), Net of Income Tax (Expense)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Six Months Ended June 30,</w:t>
            </w:r>
          </w:p>
        </w:tc>
      </w:tr>
      <w:tr>
        <w:trPr/>
        <w:tc>
          <w:tcPr>
            <w:tcW w:w="32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32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Commodity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w:t>
            </w:r>
          </w:p>
        </w:tc>
        <w:tc>
          <w:tcPr>
            <w:tcW w:w="5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Commodity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Interest rate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and other financing costs,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gain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w:t>
            </w:r>
          </w:p>
        </w:tc>
        <w:tc>
          <w:tcPr>
            <w:tcW w:w="1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w:t>
            </w:r>
          </w:p>
        </w:tc>
        <w:tc>
          <w:tcPr>
            <w:tcW w:w="1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w:t>
            </w:r>
          </w:p>
        </w:tc>
        <w:tc>
          <w:tcPr>
            <w:tcW w:w="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5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before="0" w:after="120"/>
        <w:jc w:val="both"/>
        <w:rPr/>
      </w:pPr>
      <w:r>
        <w:rPr/>
      </w:r>
    </w:p>
    <w:p>
      <w:pPr>
        <w:pStyle w:val="TextBody"/>
        <w:bidi w:val="0"/>
        <w:spacing w:before="240" w:after="240"/>
        <w:jc w:val="left"/>
        <w:rPr/>
      </w:pPr>
      <w:r>
        <w:rPr/>
      </w:r>
    </w:p>
    <w:p>
      <w:pPr>
        <w:pStyle w:val="TextBody"/>
        <w:bidi w:val="0"/>
        <w:spacing w:lineRule="auto" w:line="288" w:before="240" w:after="283"/>
        <w:jc w:val="left"/>
        <w:rPr>
          <w:rFonts w:ascii="Arial;sans-serif" w:hAnsi="Arial;sans-serif"/>
          <w:b w:val="false"/>
          <w:color w:val="000000"/>
          <w:sz w:val="20"/>
          <w:u w:val="single"/>
        </w:rPr>
      </w:pPr>
      <w:r>
        <w:rPr>
          <w:rFonts w:ascii="Arial;sans-serif" w:hAnsi="Arial;sans-serif"/>
          <w:b w:val="false"/>
          <w:color w:val="000000"/>
          <w:sz w:val="20"/>
          <w:u w:val="single"/>
        </w:rPr>
        <w:t>Derivatives Not Designated as Hedging Instruments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following table presents the amount and financial statement location in our Condensed Consolidated Statements of Income and Comprehensive Income of realized and unrealized gains (losses) recognized on derivative instruments not designated as hedging instruments (in millions):</w:t>
      </w:r>
    </w:p>
    <w:tbl>
      <w:tblPr>
        <w:tblW w:w="10205" w:type="dxa"/>
        <w:jc w:val="left"/>
        <w:tblInd w:w="0" w:type="dxa"/>
        <w:tblLayout w:type="fixed"/>
        <w:tblCellMar>
          <w:top w:w="28" w:type="dxa"/>
          <w:left w:w="28" w:type="dxa"/>
          <w:bottom w:w="28" w:type="dxa"/>
          <w:right w:w="28" w:type="dxa"/>
        </w:tblCellMar>
      </w:tblPr>
      <w:tblGrid>
        <w:gridCol w:w="897"/>
        <w:gridCol w:w="789"/>
        <w:gridCol w:w="792"/>
        <w:gridCol w:w="109"/>
        <w:gridCol w:w="109"/>
        <w:gridCol w:w="109"/>
        <w:gridCol w:w="536"/>
        <w:gridCol w:w="507"/>
        <w:gridCol w:w="509"/>
        <w:gridCol w:w="109"/>
        <w:gridCol w:w="109"/>
        <w:gridCol w:w="109"/>
        <w:gridCol w:w="261"/>
        <w:gridCol w:w="707"/>
        <w:gridCol w:w="134"/>
        <w:gridCol w:w="134"/>
        <w:gridCol w:w="134"/>
        <w:gridCol w:w="134"/>
        <w:gridCol w:w="261"/>
        <w:gridCol w:w="707"/>
        <w:gridCol w:w="134"/>
        <w:gridCol w:w="109"/>
        <w:gridCol w:w="109"/>
        <w:gridCol w:w="109"/>
        <w:gridCol w:w="256"/>
        <w:gridCol w:w="657"/>
        <w:gridCol w:w="132"/>
        <w:gridCol w:w="132"/>
        <w:gridCol w:w="132"/>
        <w:gridCol w:w="132"/>
        <w:gridCol w:w="256"/>
        <w:gridCol w:w="691"/>
        <w:gridCol w:w="200"/>
      </w:tblGrid>
      <w:tr>
        <w:trPr/>
        <w:tc>
          <w:tcPr>
            <w:tcW w:w="89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247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Derivative Instruments - Non-designated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Six Months Ended June 30,</w:t>
            </w:r>
          </w:p>
        </w:tc>
      </w:tr>
      <w:tr>
        <w:trPr/>
        <w:tc>
          <w:tcPr>
            <w:tcW w:w="247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247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Commodity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62.4 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1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20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1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w:t>
            </w:r>
          </w:p>
        </w:tc>
        <w:tc>
          <w:tcPr>
            <w:tcW w:w="1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w:t>
            </w:r>
          </w:p>
        </w:tc>
        <w:tc>
          <w:tcPr>
            <w:tcW w:w="20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gain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w:t>
            </w:r>
          </w:p>
        </w:tc>
        <w:tc>
          <w:tcPr>
            <w:tcW w:w="1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w:t>
            </w:r>
          </w:p>
        </w:tc>
        <w:tc>
          <w:tcPr>
            <w:tcW w:w="1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41.5 </w:t>
            </w:r>
          </w:p>
        </w:tc>
        <w:tc>
          <w:tcPr>
            <w:tcW w:w="1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w:t>
            </w:r>
          </w:p>
        </w:tc>
        <w:tc>
          <w:tcPr>
            <w:tcW w:w="2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Credit-Risk-Related Contingent Features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We enter into derivative contracts which may require us to post collateral periodically. Certain of these derivative contracts contain credit-risk-related contingent clauses which are triggered by credit events, such as a credit downgrade or if certain defined financial ratios fall below an established threshold. The occurrence of these credit events may require us to post additional collateral or immediately settle the derivative instrument.</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following table presents the potential collateral requirements for derivative liabilities with credit-risk-contingent features (in millions):</w:t>
      </w:r>
    </w:p>
    <w:tbl>
      <w:tblPr>
        <w:tblW w:w="9397" w:type="dxa"/>
        <w:jc w:val="left"/>
        <w:tblInd w:w="0" w:type="dxa"/>
        <w:tblLayout w:type="fixed"/>
        <w:tblCellMar>
          <w:top w:w="28" w:type="dxa"/>
          <w:left w:w="28" w:type="dxa"/>
          <w:bottom w:w="28" w:type="dxa"/>
          <w:right w:w="28" w:type="dxa"/>
        </w:tblCellMar>
      </w:tblPr>
      <w:tblGrid>
        <w:gridCol w:w="1989"/>
        <w:gridCol w:w="1747"/>
        <w:gridCol w:w="1753"/>
        <w:gridCol w:w="109"/>
        <w:gridCol w:w="109"/>
        <w:gridCol w:w="109"/>
        <w:gridCol w:w="334"/>
        <w:gridCol w:w="858"/>
        <w:gridCol w:w="172"/>
        <w:gridCol w:w="109"/>
        <w:gridCol w:w="109"/>
        <w:gridCol w:w="109"/>
        <w:gridCol w:w="439"/>
        <w:gridCol w:w="1128"/>
        <w:gridCol w:w="323"/>
      </w:tblGrid>
      <w:tr>
        <w:trPr/>
        <w:tc>
          <w:tcPr>
            <w:tcW w:w="1989" w:type="dxa"/>
            <w:tcBorders/>
            <w:vAlign w:val="center"/>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2025</w:t>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derivative liability positions with credit contingent features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58.0 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20.2 </w:t>
            </w:r>
          </w:p>
        </w:tc>
        <w:tc>
          <w:tcPr>
            <w:tcW w:w="3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Collateral posted and held by our counterparties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Maximum additional potential collateral requirements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49.8 </w:t>
            </w:r>
          </w:p>
        </w:tc>
        <w:tc>
          <w:tcPr>
            <w:tcW w:w="1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16.5 </w:t>
            </w:r>
          </w:p>
        </w:tc>
        <w:tc>
          <w:tcPr>
            <w:tcW w:w="3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Arial;sans-serif" w:hAnsi="Arial;sans-serif"/>
          <w:b/>
          <w:color w:val="000000"/>
          <w:sz w:val="20"/>
        </w:rPr>
      </w:pPr>
      <w:r>
        <w:rPr>
          <w:rFonts w:ascii="Arial;sans-serif" w:hAnsi="Arial;sans-serif"/>
          <w:b/>
          <w:color w:val="000000"/>
          <w:sz w:val="20"/>
        </w:rPr>
        <w:t>5. Fair Value Measurements</w:t>
      </w:r>
    </w:p>
    <w:p>
      <w:pPr>
        <w:pStyle w:val="TextBody"/>
        <w:bidi w:val="0"/>
        <w:spacing w:lineRule="auto" w:line="288" w:before="240" w:after="240"/>
        <w:jc w:val="both"/>
        <w:rPr>
          <w:rFonts w:ascii="Arial;sans-serif" w:hAnsi="Arial;sans-serif"/>
          <w:b w:val="false"/>
          <w:color w:val="000000"/>
          <w:sz w:val="20"/>
        </w:rPr>
      </w:pPr>
      <w:r>
        <w:rPr>
          <w:rFonts w:ascii="Arial;sans-serif" w:hAnsi="Arial;sans-serif"/>
          <w:b w:val="false"/>
          <w:color w:val="000000"/>
          <w:sz w:val="20"/>
        </w:rPr>
        <w:t>The carrying amounts of cash and cash equivalents, net accounts receivable, accounts payable and accrued expenses and other current liabilities approximate fair value based on their short-term maturities. With the exception of the Convertible Notes (as defined below), as discussed in Note 7. Debt, Interest Income, Expense, and Other Finance Costs, the carrying values of our debt and notes receivable approximate fair value as these instruments bear interest either at variable rates or fixed rates, which are not significantly different from market rates. The fair value measurements for our debt and notes receivable are considered to be Level 2 measurements based on the fair value hierarchy.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before="0" w:after="120"/>
        <w:jc w:val="both"/>
        <w:rPr/>
      </w:pPr>
      <w:r>
        <w:rPr/>
      </w:r>
    </w:p>
    <w:p>
      <w:pPr>
        <w:pStyle w:val="TextBody"/>
        <w:bidi w:val="0"/>
        <w:spacing w:before="240" w:after="240"/>
        <w:jc w:val="left"/>
        <w:rPr/>
      </w:pPr>
      <w:r>
        <w:rPr/>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Recurring Fair Value Measurements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following tables present information about our gross assets and liabilities that are measured at fair value on a recurring basis (in millions):</w:t>
      </w:r>
    </w:p>
    <w:tbl>
      <w:tblPr>
        <w:tblW w:w="9626" w:type="dxa"/>
        <w:jc w:val="left"/>
        <w:tblInd w:w="0" w:type="dxa"/>
        <w:tblLayout w:type="fixed"/>
        <w:tblCellMar>
          <w:top w:w="28" w:type="dxa"/>
          <w:left w:w="28" w:type="dxa"/>
          <w:bottom w:w="28" w:type="dxa"/>
          <w:right w:w="28" w:type="dxa"/>
        </w:tblCellMar>
      </w:tblPr>
      <w:tblGrid>
        <w:gridCol w:w="1228"/>
        <w:gridCol w:w="1079"/>
        <w:gridCol w:w="1097"/>
        <w:gridCol w:w="308"/>
        <w:gridCol w:w="943"/>
        <w:gridCol w:w="159"/>
        <w:gridCol w:w="109"/>
        <w:gridCol w:w="109"/>
        <w:gridCol w:w="109"/>
        <w:gridCol w:w="308"/>
        <w:gridCol w:w="943"/>
        <w:gridCol w:w="159"/>
        <w:gridCol w:w="109"/>
        <w:gridCol w:w="109"/>
        <w:gridCol w:w="109"/>
        <w:gridCol w:w="392"/>
        <w:gridCol w:w="812"/>
        <w:gridCol w:w="206"/>
        <w:gridCol w:w="109"/>
        <w:gridCol w:w="109"/>
        <w:gridCol w:w="109"/>
        <w:gridCol w:w="211"/>
        <w:gridCol w:w="646"/>
        <w:gridCol w:w="154"/>
      </w:tblGrid>
      <w:tr>
        <w:trPr/>
        <w:tc>
          <w:tcPr>
            <w:tcW w:w="1228"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Fair Value Measurements as of June 30, 2026</w:t>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Level 1 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Level 2 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Level 3 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14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Commodities contracts</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contracts</w:t>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surrender value of life insurance</w:t>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 at fair value</w:t>
            </w:r>
          </w:p>
        </w:tc>
        <w:tc>
          <w:tcPr>
            <w:tcW w:w="3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232.4 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167.5 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406.8 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w:t>
            </w:r>
          </w:p>
        </w:tc>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Commodities contracts</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contracts</w:t>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 at fair value</w:t>
            </w:r>
          </w:p>
        </w:tc>
        <w:tc>
          <w:tcPr>
            <w:tcW w:w="3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235.6 </w:t>
            </w:r>
          </w:p>
        </w:tc>
        <w:tc>
          <w:tcPr>
            <w:tcW w:w="1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121.4 </w:t>
            </w:r>
          </w:p>
        </w:tc>
        <w:tc>
          <w:tcPr>
            <w:tcW w:w="1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2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358.6 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630" w:type="dxa"/>
        <w:jc w:val="left"/>
        <w:tblInd w:w="0" w:type="dxa"/>
        <w:tblLayout w:type="fixed"/>
        <w:tblCellMar>
          <w:top w:w="28" w:type="dxa"/>
          <w:left w:w="28" w:type="dxa"/>
          <w:bottom w:w="28" w:type="dxa"/>
          <w:right w:w="28" w:type="dxa"/>
        </w:tblCellMar>
      </w:tblPr>
      <w:tblGrid>
        <w:gridCol w:w="1228"/>
        <w:gridCol w:w="1079"/>
        <w:gridCol w:w="1097"/>
        <w:gridCol w:w="308"/>
        <w:gridCol w:w="944"/>
        <w:gridCol w:w="158"/>
        <w:gridCol w:w="109"/>
        <w:gridCol w:w="109"/>
        <w:gridCol w:w="109"/>
        <w:gridCol w:w="308"/>
        <w:gridCol w:w="944"/>
        <w:gridCol w:w="158"/>
        <w:gridCol w:w="109"/>
        <w:gridCol w:w="109"/>
        <w:gridCol w:w="109"/>
        <w:gridCol w:w="345"/>
        <w:gridCol w:w="887"/>
        <w:gridCol w:w="177"/>
        <w:gridCol w:w="109"/>
        <w:gridCol w:w="109"/>
        <w:gridCol w:w="109"/>
        <w:gridCol w:w="212"/>
        <w:gridCol w:w="650"/>
        <w:gridCol w:w="154"/>
      </w:tblGrid>
      <w:tr>
        <w:trPr/>
        <w:tc>
          <w:tcPr>
            <w:tcW w:w="1228"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Fair Value Measurements as of December 31, 2025</w:t>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Level 1 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Level 2 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Level 3 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14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Commodities contracts</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contracts</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surrender value of life insurance</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 at fair value</w:t>
            </w:r>
          </w:p>
        </w:tc>
        <w:tc>
          <w:tcPr>
            <w:tcW w:w="3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113.4 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187.3 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w:t>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Commodities contracts</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contracts</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 at fair value</w:t>
            </w:r>
          </w:p>
        </w:tc>
        <w:tc>
          <w:tcPr>
            <w:tcW w:w="3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118.5 </w:t>
            </w:r>
          </w:p>
        </w:tc>
        <w:tc>
          <w:tcPr>
            <w:tcW w:w="1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106.1 </w:t>
            </w:r>
          </w:p>
        </w:tc>
        <w:tc>
          <w:tcPr>
            <w:tcW w:w="1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1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both"/>
        <w:rPr>
          <w:rFonts w:ascii="Arial;sans-serif" w:hAnsi="Arial;sans-serif"/>
          <w:b w:val="false"/>
          <w:color w:val="000000"/>
          <w:sz w:val="20"/>
        </w:rPr>
      </w:pPr>
      <w:r>
        <w:rPr>
          <w:rFonts w:ascii="Arial;sans-serif" w:hAnsi="Arial;sans-serif"/>
          <w:b w:val="false"/>
          <w:color w:val="000000"/>
          <w:sz w:val="20"/>
        </w:rPr>
        <w:t>For our derivative contracts, we may enter into master netting, collateral and offset agreements with counterparties. These agreements provide us the ability to offset a counterparty's rights and obligations, request additional collateral when necessary, or liquidate the collateral in the event of counterparty default. We net the fair value of cash collateral paid or received against fair value amounts recognized for net derivative positions executed with the same counterparty under the same master netting or offset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before="0" w:after="120"/>
        <w:jc w:val="both"/>
        <w:rPr/>
      </w:pPr>
      <w:r>
        <w:rPr/>
      </w:r>
    </w:p>
    <w:p>
      <w:pPr>
        <w:pStyle w:val="TextBody"/>
        <w:bidi w:val="0"/>
        <w:spacing w:before="240" w:after="240"/>
        <w:jc w:val="left"/>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We have elected to offset the recognized fair value amounts for multiple derivative instruments executed with the same counterparty in our financial statements when a legal right of offset exists. The following tables summarize those derivative balances subject to the right of offset as presented on our Condensed Consolidated Balance Sheets (in millions):</w:t>
      </w:r>
    </w:p>
    <w:tbl>
      <w:tblPr>
        <w:tblW w:w="10205" w:type="dxa"/>
        <w:jc w:val="center"/>
        <w:tblInd w:w="0" w:type="dxa"/>
        <w:tblLayout w:type="fixed"/>
        <w:tblCellMar>
          <w:top w:w="28" w:type="dxa"/>
          <w:left w:w="28" w:type="dxa"/>
          <w:bottom w:w="28" w:type="dxa"/>
          <w:right w:w="28" w:type="dxa"/>
        </w:tblCellMar>
      </w:tblPr>
      <w:tblGrid>
        <w:gridCol w:w="495"/>
        <w:gridCol w:w="435"/>
        <w:gridCol w:w="442"/>
        <w:gridCol w:w="109"/>
        <w:gridCol w:w="109"/>
        <w:gridCol w:w="109"/>
        <w:gridCol w:w="293"/>
        <w:gridCol w:w="898"/>
        <w:gridCol w:w="152"/>
        <w:gridCol w:w="109"/>
        <w:gridCol w:w="109"/>
        <w:gridCol w:w="109"/>
        <w:gridCol w:w="235"/>
        <w:gridCol w:w="721"/>
        <w:gridCol w:w="121"/>
        <w:gridCol w:w="109"/>
        <w:gridCol w:w="109"/>
        <w:gridCol w:w="109"/>
        <w:gridCol w:w="251"/>
        <w:gridCol w:w="771"/>
        <w:gridCol w:w="131"/>
        <w:gridCol w:w="109"/>
        <w:gridCol w:w="109"/>
        <w:gridCol w:w="109"/>
        <w:gridCol w:w="254"/>
        <w:gridCol w:w="653"/>
        <w:gridCol w:w="133"/>
        <w:gridCol w:w="109"/>
        <w:gridCol w:w="109"/>
        <w:gridCol w:w="109"/>
        <w:gridCol w:w="349"/>
        <w:gridCol w:w="675"/>
        <w:gridCol w:w="182"/>
        <w:gridCol w:w="109"/>
        <w:gridCol w:w="109"/>
        <w:gridCol w:w="109"/>
        <w:gridCol w:w="217"/>
        <w:gridCol w:w="666"/>
        <w:gridCol w:w="169"/>
      </w:tblGrid>
      <w:tr>
        <w:trPr/>
        <w:tc>
          <w:tcPr>
            <w:tcW w:w="49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Fair Value as of June 30, 2026</w:t>
            </w:r>
          </w:p>
        </w:tc>
      </w:tr>
      <w:tr>
        <w:trPr/>
        <w:tc>
          <w:tcPr>
            <w:tcW w:w="1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Gross Amounts Recognized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Gross Amounts Offset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Net Amounts Presented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Cash Collateral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Gross Amounts without Right of Offset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Net Amounts</w:t>
            </w:r>
          </w:p>
        </w:tc>
      </w:tr>
      <w:tr>
        <w:trPr/>
        <w:tc>
          <w:tcPr>
            <w:tcW w:w="1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Commodities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368.8 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257.0 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r>
      <w:tr>
        <w:trPr/>
        <w:tc>
          <w:tcPr>
            <w:tcW w:w="1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385.4 </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269.2 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116.2 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105.6 </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Commodities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339.1 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257.0 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r>
      <w:tr>
        <w:trPr/>
        <w:tc>
          <w:tcPr>
            <w:tcW w:w="1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358.6 </w:t>
            </w:r>
          </w:p>
        </w:tc>
        <w:tc>
          <w:tcPr>
            <w:tcW w:w="1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269.2 </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89.5 </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1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82.4 </w:t>
            </w:r>
          </w:p>
        </w:tc>
        <w:tc>
          <w:tcPr>
            <w:tcW w:w="1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495"/>
        <w:gridCol w:w="435"/>
        <w:gridCol w:w="442"/>
        <w:gridCol w:w="109"/>
        <w:gridCol w:w="109"/>
        <w:gridCol w:w="109"/>
        <w:gridCol w:w="293"/>
        <w:gridCol w:w="898"/>
        <w:gridCol w:w="152"/>
        <w:gridCol w:w="109"/>
        <w:gridCol w:w="109"/>
        <w:gridCol w:w="109"/>
        <w:gridCol w:w="235"/>
        <w:gridCol w:w="721"/>
        <w:gridCol w:w="121"/>
        <w:gridCol w:w="109"/>
        <w:gridCol w:w="109"/>
        <w:gridCol w:w="109"/>
        <w:gridCol w:w="251"/>
        <w:gridCol w:w="771"/>
        <w:gridCol w:w="131"/>
        <w:gridCol w:w="109"/>
        <w:gridCol w:w="109"/>
        <w:gridCol w:w="109"/>
        <w:gridCol w:w="289"/>
        <w:gridCol w:w="599"/>
        <w:gridCol w:w="151"/>
        <w:gridCol w:w="109"/>
        <w:gridCol w:w="109"/>
        <w:gridCol w:w="109"/>
        <w:gridCol w:w="349"/>
        <w:gridCol w:w="675"/>
        <w:gridCol w:w="182"/>
        <w:gridCol w:w="109"/>
        <w:gridCol w:w="109"/>
        <w:gridCol w:w="109"/>
        <w:gridCol w:w="217"/>
        <w:gridCol w:w="666"/>
        <w:gridCol w:w="170"/>
      </w:tblGrid>
      <w:tr>
        <w:trPr/>
        <w:tc>
          <w:tcPr>
            <w:tcW w:w="49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Fair Value as of December 31, 2025</w:t>
            </w:r>
          </w:p>
        </w:tc>
      </w:tr>
      <w:tr>
        <w:trPr/>
        <w:tc>
          <w:tcPr>
            <w:tcW w:w="1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Gross Amounts Recognized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Gross Amounts Offset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Net Amounts Presented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Cash Collateral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Gross Amounts without Right of Offset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Net Amounts</w:t>
            </w:r>
          </w:p>
        </w:tc>
      </w:tr>
      <w:tr>
        <w:trPr/>
        <w:tc>
          <w:tcPr>
            <w:tcW w:w="1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Commodities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1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291.3 </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157.8 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133.5 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8.2 </w:t>
            </w:r>
          </w:p>
        </w:tc>
        <w:tc>
          <w:tcPr>
            <w:tcW w:w="1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125.3 </w:t>
            </w:r>
          </w:p>
        </w:tc>
        <w:tc>
          <w:tcPr>
            <w:tcW w:w="1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Commodities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1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228.4 </w:t>
            </w:r>
          </w:p>
        </w:tc>
        <w:tc>
          <w:tcPr>
            <w:tcW w:w="1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157.8 </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70.6 </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1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64.6 </w:t>
            </w:r>
          </w:p>
        </w:tc>
        <w:tc>
          <w:tcPr>
            <w:tcW w:w="1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both"/>
        <w:rPr>
          <w:rFonts w:ascii="Arial;sans-serif" w:hAnsi="Arial;sans-serif"/>
          <w:b w:val="false"/>
          <w:color w:val="000000"/>
          <w:sz w:val="20"/>
        </w:rPr>
      </w:pPr>
      <w:r>
        <w:rPr>
          <w:rFonts w:ascii="Arial;sans-serif" w:hAnsi="Arial;sans-serif"/>
          <w:b w:val="false"/>
          <w:color w:val="000000"/>
          <w:sz w:val="20"/>
        </w:rPr>
        <w:t>At June 30, 2026 and December 31, 2025, we did not present any amounts gross on our Condensed Consolidated Balance Sheets where we had the right of offset.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Concentration of Credit Risk</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Our individual over-the-counter ("OTC") counterparty exposure is managed within predetermined credit limits and includes the use of cash-call margins when appropriate, thereby reducing the risk of significant nonperformance. At June 30, 2026, one of our counterparties with a total exposure of $10.0 million represented over 10% of our credit exposure to OTC derivative counterparties, for which we held no cash collateral.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Nonrecurring Fair Value Measurements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During the first quarter of 2025, we identified an impairment indicator with respect to the Watson Fuels asset group within our land segment. We determined that the carrying amount was not recoverable and recognized an asset impairment charge of $44.5 million during the three months ended March 31, 2025. The impairment is recorded within Goodwill and other asset impairments on the Condensed Consolidated Statements of Income and Comprehensive Income and reported in our land segment. The fair value of the asset group was determined based on a market approach using the estimated sale proceeds for the Watson Fuels sale. The measurement is categorized as Level 2 within the fair value hierarchy. As discussed in Note 2. Acquisitions and Divestitures, we completed the Watson Fuels sale on April 9,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before="0" w:after="120"/>
        <w:jc w:val="both"/>
        <w:rPr/>
      </w:pPr>
      <w:r>
        <w:rPr/>
      </w:r>
    </w:p>
    <w:p>
      <w:pPr>
        <w:pStyle w:val="TextBody"/>
        <w:bidi w:val="0"/>
        <w:spacing w:before="240" w:after="240"/>
        <w:jc w:val="left"/>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During the second quarter of 2025, we identified impairment indicators with respect to the Falmouth asset group within our marine segment as well as intangible assets related to certain trade names within our land segment. We determined that the carrying amount of the Falmouth asset group was not recoverable and recognized an asset impairment charge of $31.6 million. The fair value of the asset group, excluding the related land, was determined to be nominal based on an income approach using a discounted cash flow methodology. As a result the full carrying amount of the long-lived assets, excluding the related land, was impaired. The fair value measurement is categorized as Level 3 within the fair value hierarchy. We also recognized an asset impairment charge of $8.0 million related to certain trade names as a result of steps taken to consolidate branding within our land segment. We determined that the carrying value of the assets was not recoverable and recognized a full impairment of the related intangible assets. The fair value measurement is categorized as Level 3 within the fair value hierarchy. These asset impairment charges are recorded within Goodwill and other asset impairments on the Condensed Consolidated Statements of Income and Comprehensive Income during the three months ended June 30, 2025.</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fair values of nonrecurring assets or liabilities measured using Level 3 inputs were not material as of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Arial;sans-serif" w:hAnsi="Arial;sans-serif"/>
          <w:b/>
          <w:color w:val="000000"/>
          <w:sz w:val="20"/>
        </w:rPr>
      </w:pPr>
      <w:r>
        <w:rPr>
          <w:rFonts w:ascii="Arial;sans-serif" w:hAnsi="Arial;sans-serif"/>
          <w:b/>
          <w:color w:val="000000"/>
          <w:sz w:val="20"/>
        </w:rPr>
        <w:t>6. Supplier Financing Programs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Under various supplier finance programs, we agree to pay counterparties engaged as paying agents the stated amount of confirmed invoices from our designated suppliers on the original maturity date of the invoices. Under certain of these arrangements, we may also pay fees for the supplier finance platform and related support.</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Outstanding obligations confirmed under our supplier finance programs were $298.8 million and $210.1 million as of June 30, 2026 and December 31, 2025, respectively, and are included in Accounts payable within our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Arial;sans-serif" w:hAnsi="Arial;sans-serif"/>
          <w:b/>
          <w:color w:val="000000"/>
          <w:sz w:val="20"/>
        </w:rPr>
      </w:pPr>
      <w:r>
        <w:rPr>
          <w:rFonts w:ascii="Arial;sans-serif" w:hAnsi="Arial;sans-serif"/>
          <w:b/>
          <w:color w:val="000000"/>
          <w:sz w:val="20"/>
        </w:rPr>
        <w:t>7. Debt, Interest Income, Expense, and Other Finance Costs</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Long-Term Debt</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Our outstanding debt consists of the following (in millions):</w:t>
      </w:r>
    </w:p>
    <w:tbl>
      <w:tblPr>
        <w:tblW w:w="9338" w:type="dxa"/>
        <w:jc w:val="center"/>
        <w:tblInd w:w="0" w:type="dxa"/>
        <w:tblLayout w:type="fixed"/>
        <w:tblCellMar>
          <w:top w:w="28" w:type="dxa"/>
          <w:left w:w="28" w:type="dxa"/>
          <w:bottom w:w="28" w:type="dxa"/>
          <w:right w:w="28" w:type="dxa"/>
        </w:tblCellMar>
      </w:tblPr>
      <w:tblGrid>
        <w:gridCol w:w="1965"/>
        <w:gridCol w:w="1729"/>
        <w:gridCol w:w="1735"/>
        <w:gridCol w:w="109"/>
        <w:gridCol w:w="109"/>
        <w:gridCol w:w="109"/>
        <w:gridCol w:w="298"/>
        <w:gridCol w:w="913"/>
        <w:gridCol w:w="154"/>
        <w:gridCol w:w="109"/>
        <w:gridCol w:w="109"/>
        <w:gridCol w:w="109"/>
        <w:gridCol w:w="393"/>
        <w:gridCol w:w="1207"/>
        <w:gridCol w:w="290"/>
      </w:tblGrid>
      <w:tr>
        <w:trPr/>
        <w:tc>
          <w:tcPr>
            <w:tcW w:w="1965"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2025</w:t>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Credit Facility</w:t>
            </w:r>
            <w:r>
              <w:rPr>
                <w:color w:val="000000"/>
              </w:rPr>
              <w:t xml:space="preserve"> </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Term loan</w:t>
            </w:r>
            <w:r>
              <w:rPr>
                <w:color w:val="000000"/>
              </w:rPr>
              <w:t xml:space="preserve"> </w:t>
            </w:r>
            <w:r>
              <w:rPr>
                <w:rFonts w:ascii="Arial;sans-serif" w:hAnsi="Arial;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346.5 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Convertible Notes</w:t>
            </w:r>
            <w:r>
              <w:rPr>
                <w:color w:val="000000"/>
              </w:rPr>
              <w:t xml:space="preserve"> </w:t>
            </w:r>
            <w:r>
              <w:rPr>
                <w:rFonts w:ascii="Arial;sans-serif" w:hAnsi="Arial;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343.4 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745.4 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697.1 </w:t>
            </w:r>
          </w:p>
        </w:tc>
        <w:tc>
          <w:tcPr>
            <w:tcW w:w="29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Less: Current maturities of long-term debt and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736.6 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685.2 </w:t>
            </w:r>
          </w:p>
        </w:tc>
        <w:tc>
          <w:tcPr>
            <w:tcW w:w="2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pPr>
      <w:r>
        <w:rPr>
          <w:rFonts w:ascii="Arial;sans-serif" w:hAnsi="Arial;sans-serif"/>
          <w:b w:val="false"/>
          <w:color w:val="000000"/>
          <w:sz w:val="13"/>
        </w:rPr>
        <w:t>(1)</w:t>
      </w:r>
      <w:r>
        <w:rPr>
          <w:rFonts w:ascii="Arial;sans-serif" w:hAnsi="Arial;sans-serif"/>
          <w:b w:val="false"/>
          <w:color w:val="000000"/>
          <w:sz w:val="20"/>
        </w:rPr>
        <w:t>The Fourth Amended and Restated Credit Agreement (as amended, the “Credit Agreement”) matures in November 2030 and provides for a term loan as well as a revolving credit facility of up to $1.65 billion (the "Credit Facility").</w:t>
      </w:r>
    </w:p>
    <w:p>
      <w:pPr>
        <w:pStyle w:val="TextBody"/>
        <w:bidi w:val="0"/>
        <w:spacing w:lineRule="auto" w:line="288" w:before="0" w:after="120"/>
        <w:ind w:left="0" w:right="0" w:hanging="360"/>
        <w:jc w:val="both"/>
        <w:rPr/>
      </w:pPr>
      <w:r>
        <w:rPr>
          <w:rFonts w:ascii="Arial;sans-serif" w:hAnsi="Arial;sans-serif"/>
          <w:b w:val="false"/>
          <w:color w:val="000000"/>
          <w:sz w:val="13"/>
        </w:rPr>
        <w:t>(2)</w:t>
      </w:r>
      <w:r>
        <w:rPr>
          <w:rFonts w:ascii="Arial;sans-serif" w:hAnsi="Arial;sans-serif"/>
          <w:b w:val="false"/>
          <w:color w:val="000000"/>
          <w:sz w:val="20"/>
        </w:rPr>
        <w:t>Our 3.250% Convertible Senior Notes due 2028 (the "Convertible Notes") were issued in June 2023 and mature on July 1, 2028, unless earlier converted, redeemed or repurchased. As of June 30, 2026 and December 31, 2025, the net carrying amount of the Convertible Notes includes the aggregate principal amount of $350.0 million, net of unamortized debt issuance costs of $5.4 million and $6.6 million, respectively. As of June 30, 2026 and December 31, 2025, the fair value of the Convertible Notes was estimated to be approximately $438.3 million and $378.3 million, respectively, using the Level 2 observable input of quoted market prices in an inactive market.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before="0" w:after="120"/>
        <w:jc w:val="both"/>
        <w:rPr/>
      </w:pPr>
      <w:r>
        <w:rPr/>
      </w:r>
    </w:p>
    <w:p>
      <w:pPr>
        <w:pStyle w:val="TextBody"/>
        <w:bidi w:val="0"/>
        <w:spacing w:before="240" w:after="240"/>
        <w:jc w:val="left"/>
        <w:rPr/>
      </w:pPr>
      <w:r>
        <w:rPr/>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Interest Income, Expense, and Other Financing Costs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following table provides additional information about our Interest expense and other financing costs, net (in millions):</w:t>
      </w:r>
    </w:p>
    <w:tbl>
      <w:tblPr>
        <w:tblW w:w="10205" w:type="dxa"/>
        <w:jc w:val="left"/>
        <w:tblInd w:w="0" w:type="dxa"/>
        <w:tblLayout w:type="fixed"/>
        <w:tblCellMar>
          <w:top w:w="28" w:type="dxa"/>
          <w:left w:w="28" w:type="dxa"/>
          <w:bottom w:w="28" w:type="dxa"/>
          <w:right w:w="28" w:type="dxa"/>
        </w:tblCellMar>
      </w:tblPr>
      <w:tblGrid>
        <w:gridCol w:w="1200"/>
        <w:gridCol w:w="1056"/>
        <w:gridCol w:w="1060"/>
        <w:gridCol w:w="109"/>
        <w:gridCol w:w="109"/>
        <w:gridCol w:w="109"/>
        <w:gridCol w:w="312"/>
        <w:gridCol w:w="873"/>
        <w:gridCol w:w="160"/>
        <w:gridCol w:w="160"/>
        <w:gridCol w:w="160"/>
        <w:gridCol w:w="160"/>
        <w:gridCol w:w="312"/>
        <w:gridCol w:w="873"/>
        <w:gridCol w:w="160"/>
        <w:gridCol w:w="109"/>
        <w:gridCol w:w="109"/>
        <w:gridCol w:w="109"/>
        <w:gridCol w:w="294"/>
        <w:gridCol w:w="823"/>
        <w:gridCol w:w="152"/>
        <w:gridCol w:w="152"/>
        <w:gridCol w:w="152"/>
        <w:gridCol w:w="152"/>
        <w:gridCol w:w="294"/>
        <w:gridCol w:w="823"/>
        <w:gridCol w:w="223"/>
      </w:tblGrid>
      <w:tr>
        <w:trPr/>
        <w:tc>
          <w:tcPr>
            <w:tcW w:w="1200"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3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Six Months Ended June 30,</w:t>
            </w:r>
          </w:p>
        </w:tc>
      </w:tr>
      <w:tr>
        <w:trPr/>
        <w:tc>
          <w:tcPr>
            <w:tcW w:w="3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3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and other financing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(33.2)</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(60.8)</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(54.8)</w:t>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and other financing costs,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(30.6)</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(25.7)</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(56.9)</w:t>
            </w:r>
          </w:p>
        </w:tc>
        <w:tc>
          <w:tcPr>
            <w:tcW w:w="1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(48.5)</w:t>
            </w:r>
          </w:p>
        </w:tc>
        <w:tc>
          <w:tcPr>
            <w:tcW w:w="2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Arial;sans-serif" w:hAnsi="Arial;sans-serif"/>
          <w:b/>
          <w:color w:val="000000"/>
          <w:sz w:val="20"/>
        </w:rPr>
      </w:pPr>
      <w:r>
        <w:rPr>
          <w:rFonts w:ascii="Arial;sans-serif" w:hAnsi="Arial;sans-serif"/>
          <w:b/>
          <w:color w:val="000000"/>
          <w:sz w:val="20"/>
        </w:rPr>
        <w:t>8. Commitments and Contingencies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On November 23, 2023, one of our subsidiaries submitted an erroneous bid in the Finnish power market. During the fourth quarter of 2023, the Company recognized related extraordinary losses totaling $48.8 million, which were primarily included in Cost of revenue in the accompanying Condensed Consolidated Statements of Income and Comprehensive Income. In December 2023, the subsidiary received a request for information from Energiavirasto, the Finnish energy regulatory authority ("EA") indicating that EA had initiated an investigation in relation to the events surrounding the erroneous bid submission. On December 11, 2025, EA issued its decision in which it found the subsidiary had breached the prohibition on market manipulation in wholesale energy markets under E.U. law. On April 23, 2026, the EA submitted a recommendation to the Finnish Market Court that it impose a penalty fee in the amount of $10.6 million (EUR 9.3 million). We believe the EA’s penalty payment proposal should be dismissed as unfounded and are defending against the proposal before the Finnish Market Court. The Finnish Market Court will ultimately determine whether any penalty should be assessed and, if so, the amount.</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We are also a party to various claims, complaints and proceedings arising in the ordinary course of our business including, but not limited to, environmental claims, commercial and governmental contract claims, such as property damage, demurrage, personal injury, billing and fuel quality claims, as well as bankruptcy preference claims and tax and administrative claims.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From time to time, we are also under review by various domestic and foreign tax authorities regarding indirect tax matters and are involved in various challenges and litigation in a number of countries, including, in particular, South Korea, where the amounts in controversy may be material. During 2016 and 2017, the South Korean branch of one of our subsidiaries received assessments totaling approximately $22.2 million (KRW 34.3 billion) from the regional tax authorities of Seoul, South Korea. The assessments primarily consist of fines and penalties for allegedly failing to issue Value Added Tax ("VAT") invoices and report certain transactions during the period 2011-2014. These assessments do not involve failure to pay or collect VAT. We believe we have substantial defenses to these assessments and expect to continue to pursue available administrative and judicial remedies to resolve this matter.</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We have established loss provisions for claims and other matters in which losses are probable and can be reasonably estimated. As of June 30, 2026, our reserves for such claims were not material. For those matters where a reserve has not been established and for which we believe a loss is reasonably possible, we believe that such losses will not have a material adverse effect on our Condensed Consolidated Financial Statements. However, any adverse resolution of one or more such claims, complaints or proceedings during a particular period could have a material adverse effect on our Condensed Consolidated Financial Statements or disclosures for that period.</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Our estimates regarding potential losses and materiality are based on our judgment and assessment of the claims utilizing currently available information. Although we will continue to reassess our reserves and estimates based on future developments, our objective assessment of the legal merits of such claims may not always be predictive of the outcome and actual results may vary from our current estimates.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When we deem it appropriate and the amounts are reasonably estimable, we establish reserves for potential adjustments to our provision for the accrual of indirect taxes that may result from examinations or other actions by tax authorities. If events occur which indicate payment of these amounts is unnecessary, the reversal of the liabilities will result in the recognition of benefits in the period we determine the liabilities are no longer necessary. If our estimates of any of our federal, state, and foreign indirect tax liabilities are less than the ultimate assessment, it could result in a further charge to expense. Except with respect to the matters described above, we believe that the final outcome of any pending examinations, agreements, administrative or judicial proceedings will not have a material effect on our results of operations or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before="0" w:after="120"/>
        <w:jc w:val="both"/>
        <w:rPr/>
      </w:pPr>
      <w:r>
        <w:rPr/>
      </w:r>
    </w:p>
    <w:p>
      <w:pPr>
        <w:pStyle w:val="TextBody"/>
        <w:bidi w:val="0"/>
        <w:spacing w:before="240" w:after="240"/>
        <w:jc w:val="left"/>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See Note 11. Income Taxes for information regarding tax returns under examination both in the United States ("U.S.") and foreign jurisdictions, including the examinations currently in progress in Denmark.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Arial;sans-serif" w:hAnsi="Arial;sans-serif"/>
          <w:b/>
          <w:color w:val="000000"/>
          <w:sz w:val="20"/>
        </w:rPr>
      </w:pPr>
      <w:r>
        <w:rPr>
          <w:rFonts w:ascii="Arial;sans-serif" w:hAnsi="Arial;sans-serif"/>
          <w:b/>
          <w:color w:val="000000"/>
          <w:sz w:val="20"/>
        </w:rPr>
        <w:t>9. Shareholders'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Cash Dividends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During the six months ended June 30, 2026, the Company's Board of Directors (the "Board") declared quarterly cash dividends of $0.20 and $0.23 per common share representing first and second quarter dividends of $10.2 million and $11.7 million, which were paid on April 16, 2026 and July 16, 2026, respectively. During the six months ended June 30, 2025, the Board declared quarterly cash dividends of $0.17 and $0.20 per common share representing first and second quarter dividends of $9.6 million and $11.0 million, which were paid on April 16, 2025 and July 16,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Accumulated Other Comprehensive Income (Loss)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Our Accumulated other comprehensive income (loss) consists of foreign currency translation adjustments related to our subsidiaries that have a functional currency other than the U.S. dollar and unrealized gains (losses) from derivative instruments designated as cash flow hedges. The after-tax changes in Accumulated other comprehensive income (loss) by component were as follows (in millions):</w:t>
      </w:r>
    </w:p>
    <w:tbl>
      <w:tblPr>
        <w:tblW w:w="10205" w:type="dxa"/>
        <w:jc w:val="left"/>
        <w:tblInd w:w="0" w:type="dxa"/>
        <w:tblLayout w:type="fixed"/>
        <w:tblCellMar>
          <w:top w:w="28" w:type="dxa"/>
          <w:left w:w="28" w:type="dxa"/>
          <w:bottom w:w="28" w:type="dxa"/>
          <w:right w:w="28" w:type="dxa"/>
        </w:tblCellMar>
      </w:tblPr>
      <w:tblGrid>
        <w:gridCol w:w="1523"/>
        <w:gridCol w:w="934"/>
        <w:gridCol w:w="938"/>
        <w:gridCol w:w="547"/>
        <w:gridCol w:w="1405"/>
        <w:gridCol w:w="285"/>
        <w:gridCol w:w="109"/>
        <w:gridCol w:w="109"/>
        <w:gridCol w:w="109"/>
        <w:gridCol w:w="282"/>
        <w:gridCol w:w="766"/>
        <w:gridCol w:w="145"/>
        <w:gridCol w:w="109"/>
        <w:gridCol w:w="109"/>
        <w:gridCol w:w="109"/>
        <w:gridCol w:w="633"/>
        <w:gridCol w:w="1622"/>
        <w:gridCol w:w="471"/>
      </w:tblGrid>
      <w:tr>
        <w:trPr/>
        <w:tc>
          <w:tcPr>
            <w:tcW w:w="152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Foreign 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Accumulated Other Comprehensive Income (Loss)</w:t>
            </w:r>
          </w:p>
        </w:tc>
      </w:tr>
      <w:tr>
        <w:trPr/>
        <w:tc>
          <w:tcPr>
            <w:tcW w:w="3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as of January 1, 2026</w:t>
            </w:r>
          </w:p>
        </w:tc>
        <w:tc>
          <w:tcPr>
            <w:tcW w:w="5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w:t>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w:t>
            </w:r>
          </w:p>
        </w:tc>
        <w:tc>
          <w:tcPr>
            <w:tcW w:w="4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comprehensive income (loss) before reclassifications</w:t>
            </w:r>
          </w:p>
        </w:tc>
        <w:tc>
          <w:tcPr>
            <w:tcW w:w="1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(41.2)</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(42.6)</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Amounts reclassified from Accumulated other comprehensive income (loss)</w:t>
            </w:r>
          </w:p>
        </w:tc>
        <w:tc>
          <w:tcPr>
            <w:tcW w:w="1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5" w:type="dxa"/>
            <w:gridSpan w:val="3"/>
            <w:tcBorders/>
            <w:vAlign w:val="center"/>
          </w:tcPr>
          <w:p>
            <w:pPr>
              <w:pStyle w:val="TableContents"/>
              <w:bidi w:val="0"/>
              <w:spacing w:before="0" w:after="283"/>
              <w:jc w:val="left"/>
              <w:rPr>
                <w:sz w:val="4"/>
                <w:szCs w:val="4"/>
              </w:rPr>
            </w:pPr>
            <w:r>
              <w:rPr>
                <w:sz w:val="4"/>
                <w:szCs w:val="4"/>
              </w:rPr>
            </w:r>
          </w:p>
        </w:tc>
        <w:tc>
          <w:tcPr>
            <w:tcW w:w="2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26" w:type="dxa"/>
            <w:gridSpan w:val="3"/>
            <w:tcBorders/>
            <w:vAlign w:val="center"/>
          </w:tcPr>
          <w:p>
            <w:pPr>
              <w:pStyle w:val="TableContents"/>
              <w:bidi w:val="0"/>
              <w:spacing w:before="0" w:after="283"/>
              <w:jc w:val="left"/>
              <w:rPr>
                <w:sz w:val="4"/>
                <w:szCs w:val="4"/>
              </w:rPr>
            </w:pPr>
            <w:r>
              <w:rPr>
                <w:sz w:val="4"/>
                <w:szCs w:val="4"/>
              </w:rPr>
            </w:r>
          </w:p>
        </w:tc>
      </w:tr>
      <w:tr>
        <w:trPr/>
        <w:tc>
          <w:tcPr>
            <w:tcW w:w="3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as of June 30, 2026</w:t>
            </w:r>
          </w:p>
        </w:tc>
        <w:tc>
          <w:tcPr>
            <w:tcW w:w="5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w:t>
            </w:r>
          </w:p>
        </w:tc>
        <w:tc>
          <w:tcPr>
            <w:tcW w:w="2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w:t>
            </w:r>
          </w:p>
        </w:tc>
        <w:tc>
          <w:tcPr>
            <w:tcW w:w="1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w:t>
            </w:r>
          </w:p>
        </w:tc>
        <w:tc>
          <w:tcPr>
            <w:tcW w:w="4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as of January 1, 2025</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(92.2)</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(91.0)</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(loss) before reclassifications</w:t>
            </w:r>
          </w:p>
        </w:tc>
        <w:tc>
          <w:tcPr>
            <w:tcW w:w="1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Amounts reclassified from Accumulated other comprehensive income (loss) </w:t>
            </w:r>
            <w:r>
              <w:rPr>
                <w:rFonts w:ascii="Arial;sans-serif" w:hAnsi="Arial;sans-serif"/>
                <w:b w:val="false"/>
                <w:color w:val="000000"/>
                <w:sz w:val="13"/>
              </w:rPr>
              <w:t>(1)</w:t>
            </w:r>
          </w:p>
        </w:tc>
        <w:tc>
          <w:tcPr>
            <w:tcW w:w="1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55.1 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57.3 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5" w:type="dxa"/>
            <w:gridSpan w:val="3"/>
            <w:tcBorders/>
            <w:vAlign w:val="center"/>
          </w:tcPr>
          <w:p>
            <w:pPr>
              <w:pStyle w:val="TableContents"/>
              <w:bidi w:val="0"/>
              <w:spacing w:before="0" w:after="283"/>
              <w:jc w:val="left"/>
              <w:rPr>
                <w:sz w:val="4"/>
                <w:szCs w:val="4"/>
              </w:rPr>
            </w:pPr>
            <w:r>
              <w:rPr>
                <w:sz w:val="4"/>
                <w:szCs w:val="4"/>
              </w:rPr>
            </w:r>
          </w:p>
        </w:tc>
        <w:tc>
          <w:tcPr>
            <w:tcW w:w="2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26" w:type="dxa"/>
            <w:gridSpan w:val="3"/>
            <w:tcBorders/>
            <w:vAlign w:val="center"/>
          </w:tcPr>
          <w:p>
            <w:pPr>
              <w:pStyle w:val="TableContents"/>
              <w:bidi w:val="0"/>
              <w:spacing w:before="0" w:after="283"/>
              <w:jc w:val="left"/>
              <w:rPr>
                <w:sz w:val="4"/>
                <w:szCs w:val="4"/>
              </w:rPr>
            </w:pPr>
            <w:r>
              <w:rPr>
                <w:sz w:val="4"/>
                <w:szCs w:val="4"/>
              </w:rPr>
            </w:r>
          </w:p>
        </w:tc>
      </w:tr>
      <w:tr>
        <w:trPr/>
        <w:tc>
          <w:tcPr>
            <w:tcW w:w="3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as of June 30, 2025</w:t>
            </w:r>
          </w:p>
        </w:tc>
        <w:tc>
          <w:tcPr>
            <w:tcW w:w="5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w:t>
            </w:r>
          </w:p>
        </w:tc>
        <w:tc>
          <w:tcPr>
            <w:tcW w:w="2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w:t>
            </w:r>
          </w:p>
        </w:tc>
        <w:tc>
          <w:tcPr>
            <w:tcW w:w="4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pPr>
      <w:r>
        <w:rPr>
          <w:rFonts w:ascii="Arial;sans-serif" w:hAnsi="Arial;sans-serif"/>
          <w:b w:val="false"/>
          <w:color w:val="000000"/>
          <w:sz w:val="13"/>
        </w:rPr>
        <w:t>(1)</w:t>
      </w:r>
      <w:r>
        <w:rPr>
          <w:rFonts w:ascii="Arial;sans-serif" w:hAnsi="Arial;sans-serif"/>
          <w:b w:val="false"/>
          <w:color w:val="000000"/>
          <w:sz w:val="20"/>
        </w:rPr>
        <w:t>During the six months ended 2025, cumulative translation losses were reclassified from Accumulated other comprehensive income (loss) into net income. See Note 2. Acquisitions and Divestitures</w:t>
      </w:r>
      <w:r>
        <w:rPr>
          <w:color w:val="000000"/>
        </w:rPr>
        <w:t xml:space="preserve"> </w:t>
      </w:r>
      <w:r>
        <w:rPr>
          <w:rFonts w:ascii="Arial;sans-serif" w:hAnsi="Arial;sans-serif"/>
          <w:b w:val="false"/>
          <w:color w:val="000000"/>
          <w:sz w:val="20"/>
        </w:rPr>
        <w:t>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before="0" w:after="120"/>
        <w:jc w:val="both"/>
        <w:rPr/>
      </w:pPr>
      <w:r>
        <w:rPr/>
      </w:r>
    </w:p>
    <w:p>
      <w:pPr>
        <w:pStyle w:val="TextBody"/>
        <w:bidi w:val="0"/>
        <w:spacing w:before="240" w:after="240"/>
        <w:jc w:val="left"/>
        <w:rPr/>
      </w:pPr>
      <w:r>
        <w:rPr/>
      </w:r>
    </w:p>
    <w:p>
      <w:pPr>
        <w:pStyle w:val="TextBody"/>
        <w:bidi w:val="0"/>
        <w:spacing w:lineRule="auto" w:line="288" w:before="240" w:after="240"/>
        <w:jc w:val="left"/>
        <w:rPr>
          <w:rFonts w:ascii="Arial;sans-serif" w:hAnsi="Arial;sans-serif"/>
          <w:b/>
          <w:color w:val="000000"/>
          <w:sz w:val="20"/>
        </w:rPr>
      </w:pPr>
      <w:r>
        <w:rPr>
          <w:rFonts w:ascii="Arial;sans-serif" w:hAnsi="Arial;sans-serif"/>
          <w:b/>
          <w:color w:val="000000"/>
          <w:sz w:val="20"/>
        </w:rPr>
        <w:t>10. Revenue from Contracts with Customers</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Disaggregated Revenue</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following table presents our revenues from contracts with customers disaggregated by major geographic areas in which we conduct business (in millions):</w:t>
      </w:r>
    </w:p>
    <w:tbl>
      <w:tblPr>
        <w:tblW w:w="10205" w:type="dxa"/>
        <w:jc w:val="left"/>
        <w:tblInd w:w="0" w:type="dxa"/>
        <w:tblLayout w:type="fixed"/>
        <w:tblCellMar>
          <w:top w:w="28" w:type="dxa"/>
          <w:left w:w="28" w:type="dxa"/>
          <w:bottom w:w="28" w:type="dxa"/>
          <w:right w:w="28" w:type="dxa"/>
        </w:tblCellMar>
      </w:tblPr>
      <w:tblGrid>
        <w:gridCol w:w="1112"/>
        <w:gridCol w:w="940"/>
        <w:gridCol w:w="946"/>
        <w:gridCol w:w="109"/>
        <w:gridCol w:w="109"/>
        <w:gridCol w:w="109"/>
        <w:gridCol w:w="259"/>
        <w:gridCol w:w="1127"/>
        <w:gridCol w:w="133"/>
        <w:gridCol w:w="133"/>
        <w:gridCol w:w="133"/>
        <w:gridCol w:w="133"/>
        <w:gridCol w:w="259"/>
        <w:gridCol w:w="998"/>
        <w:gridCol w:w="133"/>
        <w:gridCol w:w="109"/>
        <w:gridCol w:w="109"/>
        <w:gridCol w:w="109"/>
        <w:gridCol w:w="239"/>
        <w:gridCol w:w="1043"/>
        <w:gridCol w:w="124"/>
        <w:gridCol w:w="124"/>
        <w:gridCol w:w="124"/>
        <w:gridCol w:w="124"/>
        <w:gridCol w:w="239"/>
        <w:gridCol w:w="1043"/>
        <w:gridCol w:w="185"/>
      </w:tblGrid>
      <w:tr>
        <w:trPr/>
        <w:tc>
          <w:tcPr>
            <w:tcW w:w="1112"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2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Six Months Ended June 30,</w:t>
            </w:r>
          </w:p>
        </w:tc>
      </w:tr>
      <w:tr>
        <w:trPr/>
        <w:tc>
          <w:tcPr>
            <w:tcW w:w="2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2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414.3 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230.2 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653.5 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493.4 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1,233.6 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839.1 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2,214.6 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1,699.6 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Asia Pacific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1,649.3 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1,094.2 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2,871.5 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2,243.8 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2,060.8 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1,165.4 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3,106.3 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2,010.1 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484.8 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977.9 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Marine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666.3 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517.6 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1,109.9 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937.4 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EMEA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2,883.2 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1,926.4 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4,701.0 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3,925.4 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1,558.0 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822.9 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2,763.0 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1,854.3 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406.2 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411.3 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LATAM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1,767.5 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978.5 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3,169.3 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2,265.7 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3,960.5 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2,501.6 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6,519.9 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5,003.9 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2,727.0 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2,169.4 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4,918.4 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4,263.8 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Marine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654.7 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1,096.5 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775.3 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North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7,342.1 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5,050.7 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12,534.8 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10,043.0 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Other revenues (excluded from ASC 606) </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(51.0)</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13,591.2 </w:t>
            </w:r>
          </w:p>
        </w:tc>
        <w:tc>
          <w:tcPr>
            <w:tcW w:w="1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9,043.3 </w:t>
            </w:r>
          </w:p>
        </w:tc>
        <w:tc>
          <w:tcPr>
            <w:tcW w:w="1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23,276.2 </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18,495.8 </w:t>
            </w:r>
          </w:p>
        </w:tc>
        <w:tc>
          <w:tcPr>
            <w:tcW w:w="1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pPr>
      <w:r>
        <w:rPr>
          <w:rFonts w:ascii="Arial;sans-serif" w:hAnsi="Arial;sans-serif"/>
          <w:b w:val="false"/>
          <w:color w:val="000000"/>
          <w:sz w:val="13"/>
        </w:rPr>
        <w:t>(1)    </w:t>
      </w:r>
      <w:r>
        <w:rPr>
          <w:rFonts w:ascii="Arial;sans-serif" w:hAnsi="Arial;sans-serif"/>
          <w:b w:val="false"/>
          <w:color w:val="000000"/>
          <w:sz w:val="20"/>
        </w:rPr>
        <w:t>Includes revenue from derivatives, leases, and other transactions that we account for under separate guidance.</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Accounts Receivable, Contract Assets and Contract Liabilities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nature of the receivables related to revenue from contracts with customers and other types of contracts (excluded from ASC 606) are substantially similar, as they are both generated from transactions with the same type of counterparties (e.g., sale of fuel and storage that meet the definition of a lease with the same counterparty) and are entered into utilizing the same credit approval and monitoring procedures for all customers. As such, we believe the risk associated with the cash flows from the different types of receivables is not meaningful to separately disaggregate the accounts receivable balance presented on our Condensed Consolidated Balance Sheets. As of June 30, 2026 and December 31, 2025, the contract assets and contract liabilities recognized by the Company were not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before="0" w:after="120"/>
        <w:jc w:val="both"/>
        <w:rPr/>
      </w:pPr>
      <w:r>
        <w:rPr/>
      </w:r>
    </w:p>
    <w:p>
      <w:pPr>
        <w:pStyle w:val="TextBody"/>
        <w:bidi w:val="0"/>
        <w:spacing w:before="240" w:after="240"/>
        <w:jc w:val="left"/>
        <w:rPr/>
      </w:pPr>
      <w:r>
        <w:rPr/>
      </w:r>
    </w:p>
    <w:p>
      <w:pPr>
        <w:pStyle w:val="TextBody"/>
        <w:bidi w:val="0"/>
        <w:spacing w:lineRule="auto" w:line="288" w:before="240" w:after="240"/>
        <w:jc w:val="left"/>
        <w:rPr>
          <w:rFonts w:ascii="Arial;sans-serif" w:hAnsi="Arial;sans-serif"/>
          <w:b/>
          <w:color w:val="000000"/>
          <w:sz w:val="20"/>
        </w:rPr>
      </w:pPr>
      <w:r>
        <w:rPr>
          <w:rFonts w:ascii="Arial;sans-serif" w:hAnsi="Arial;sans-serif"/>
          <w:b/>
          <w:color w:val="000000"/>
          <w:sz w:val="20"/>
        </w:rPr>
        <w:t>11. Income Taxes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Our income tax provision and the respective effective income tax rates are as follows (in millions, except for income tax rates):</w:t>
      </w:r>
    </w:p>
    <w:tbl>
      <w:tblPr>
        <w:tblW w:w="10205" w:type="dxa"/>
        <w:jc w:val="left"/>
        <w:tblInd w:w="0" w:type="dxa"/>
        <w:tblLayout w:type="fixed"/>
        <w:tblCellMar>
          <w:top w:w="28" w:type="dxa"/>
          <w:left w:w="28" w:type="dxa"/>
          <w:bottom w:w="28" w:type="dxa"/>
          <w:right w:w="28" w:type="dxa"/>
        </w:tblCellMar>
      </w:tblPr>
      <w:tblGrid>
        <w:gridCol w:w="942"/>
        <w:gridCol w:w="825"/>
        <w:gridCol w:w="832"/>
        <w:gridCol w:w="109"/>
        <w:gridCol w:w="109"/>
        <w:gridCol w:w="109"/>
        <w:gridCol w:w="292"/>
        <w:gridCol w:w="751"/>
        <w:gridCol w:w="397"/>
        <w:gridCol w:w="150"/>
        <w:gridCol w:w="150"/>
        <w:gridCol w:w="150"/>
        <w:gridCol w:w="292"/>
        <w:gridCol w:w="978"/>
        <w:gridCol w:w="397"/>
        <w:gridCol w:w="109"/>
        <w:gridCol w:w="109"/>
        <w:gridCol w:w="109"/>
        <w:gridCol w:w="273"/>
        <w:gridCol w:w="702"/>
        <w:gridCol w:w="371"/>
        <w:gridCol w:w="140"/>
        <w:gridCol w:w="140"/>
        <w:gridCol w:w="140"/>
        <w:gridCol w:w="273"/>
        <w:gridCol w:w="915"/>
        <w:gridCol w:w="441"/>
      </w:tblGrid>
      <w:tr>
        <w:trPr/>
        <w:tc>
          <w:tcPr>
            <w:tcW w:w="942"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r>
      <w:tr>
        <w:trPr/>
        <w:tc>
          <w:tcPr>
            <w:tcW w:w="2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Six Months Ended June 30,</w:t>
            </w:r>
          </w:p>
        </w:tc>
      </w:tr>
      <w:tr>
        <w:trPr/>
        <w:tc>
          <w:tcPr>
            <w:tcW w:w="2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2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16.6 </w:t>
            </w:r>
          </w:p>
        </w:tc>
        <w:tc>
          <w:tcPr>
            <w:tcW w:w="3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(109.6)</w:t>
            </w:r>
          </w:p>
        </w:tc>
        <w:tc>
          <w:tcPr>
            <w:tcW w:w="3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23.2 </w:t>
            </w:r>
          </w:p>
        </w:tc>
        <w:tc>
          <w:tcPr>
            <w:tcW w:w="3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(116.4)</w:t>
            </w:r>
          </w:p>
        </w:tc>
        <w:tc>
          <w:tcPr>
            <w:tcW w:w="4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Effective income tax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25.0 </w:t>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24.4 </w:t>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23.5 </w:t>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24.4 </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Our provision for income taxes for the three months ended June 30, 2026 includes a net discrete income tax benefit of $1.0 million, of which a tax benefit of $1.5 million relates to changes in our reserves for uncertain tax positions, partially offset by a net tax expense of $0.4 million related to return-to-provision adjustments and other adjustments to our worldwide tax positions.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Our provision for income taxes for the three months ended June 30, 2025 includes a net discrete income tax benefit of $12.3 million, of which a tax benefit of $17.4 million relates to the Watson Fuels sale and related asset impairment charges, partially offset by a net tax expense of $5.2 million related to return-to-provision adjustments and other changes in our reserves for uncertain tax positions.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Our provision for income taxes for the six months ended June 30, 2026 includes a net discrete income tax benefit of $3.1 million, of which a net tax benefit of $5.0 million relates to changes in our reserves for uncertain tax positions, partially offset by a net tax expense of $1.9 million related to return-to-provision and other adjustments to our worldwide tax positions.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Our provision for income taxes for the six months ended June 30, 2025 includes a net discrete income tax benefit of $11.7 million, of which a tax benefit of $17.4 million relates to the Watson Fuels sale and related asset impairment charges and $3.6 million relates to changes in our reserves for uncertain tax positions and the resolution of various worldwide tax matters, partially offset by a tax expense of $2.6 million related to a valuation allowance recorded against the deferred tax assets of a foreign subsidiary and a net tax expense of $6.8 million related to return-to-provision and other adjustments.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Our income tax provisions for the three and six months ended June 30, 2026 and 2025 were calculated based on the estimated annual effective income tax rates for the 2026 and 2025 years, respectively. The actual effective income tax rate for the 2026 year may be materially different for several reasons including differences between estimated versus actual results and the geographic tax jurisdictions in which the results are earned.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We have various tax returns under examination both in the U.S. and foreign jurisdictions. The most material of these is in Denmark, where one of our subsidiaries has been under audit since 2018. Through June 30, 2026, we have received final tax assessments for the 2013 through 2019 tax years of approximately $120.1 million (DKK 785.7 million), and proposed tax assessments for the 2020 and 2021 tax years of approximately $28.2 million (DKK 184.8 million), excluding interest, which would be material. In July 2026, the tax assessments for the 2020 and 2021 tax years were finalized with no change to the proposed amounts. We believe we have substantial defenses to these assessments and expect to continue to pursue available administrative and judicial remedies to resolve this matter.</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An unfavorable resolution of one or more of the above matters could have a material adverse effect on our operating results or cash flows in the quarter or year in which the adjustments are recorded, or the tax is due or paid. As examinations are still in process or have not yet reached the final stages of the appeals process, the timing of the ultimate resolution or payments that may be required cannot be determined at this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40"/>
        <w:jc w:val="left"/>
        <w:rPr>
          <w:rFonts w:ascii="Arial;sans-serif" w:hAnsi="Arial;sans-serif"/>
          <w:b/>
          <w:color w:val="000000"/>
          <w:sz w:val="20"/>
        </w:rPr>
      </w:pPr>
      <w:r>
        <w:rPr>
          <w:rFonts w:ascii="Arial;sans-serif" w:hAnsi="Arial;sans-serif"/>
          <w:b/>
          <w:color w:val="000000"/>
          <w:sz w:val="20"/>
        </w:rPr>
        <w:t>12. Business Segments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We operate in three reportable segments consisting of aviation, land and marine. Our operating segments are determined based on the different markets in which we provide products and services, which are defined primarily by the customers (businesses and governmental) and the products and services provided to those customers. We use Income from operations as our primary measure of segment profit. Corporate expenses are allocated to the segments based on usage, where possible, or on other factors according to the nature of the activity.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before="0" w:after="120"/>
        <w:jc w:val="both"/>
        <w:rPr/>
      </w:pPr>
      <w:r>
        <w:rPr/>
      </w:r>
    </w:p>
    <w:p>
      <w:pPr>
        <w:pStyle w:val="TextBody"/>
        <w:bidi w:val="0"/>
        <w:spacing w:before="240" w:after="240"/>
        <w:jc w:val="left"/>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Information concerning our revenue, significant segment expenses, and income from operations by segment is as follows (in millions):</w:t>
      </w:r>
    </w:p>
    <w:tbl>
      <w:tblPr>
        <w:tblW w:w="9974" w:type="dxa"/>
        <w:jc w:val="left"/>
        <w:tblInd w:w="0" w:type="dxa"/>
        <w:tblLayout w:type="fixed"/>
        <w:tblCellMar>
          <w:top w:w="28" w:type="dxa"/>
          <w:left w:w="28" w:type="dxa"/>
          <w:bottom w:w="28" w:type="dxa"/>
          <w:right w:w="28" w:type="dxa"/>
        </w:tblCellMar>
      </w:tblPr>
      <w:tblGrid>
        <w:gridCol w:w="1526"/>
        <w:gridCol w:w="1337"/>
        <w:gridCol w:w="1351"/>
        <w:gridCol w:w="211"/>
        <w:gridCol w:w="916"/>
        <w:gridCol w:w="109"/>
        <w:gridCol w:w="109"/>
        <w:gridCol w:w="109"/>
        <w:gridCol w:w="109"/>
        <w:gridCol w:w="211"/>
        <w:gridCol w:w="811"/>
        <w:gridCol w:w="109"/>
        <w:gridCol w:w="109"/>
        <w:gridCol w:w="109"/>
        <w:gridCol w:w="109"/>
        <w:gridCol w:w="211"/>
        <w:gridCol w:w="811"/>
        <w:gridCol w:w="109"/>
        <w:gridCol w:w="109"/>
        <w:gridCol w:w="109"/>
        <w:gridCol w:w="109"/>
        <w:gridCol w:w="211"/>
        <w:gridCol w:w="916"/>
        <w:gridCol w:w="154"/>
      </w:tblGrid>
      <w:tr>
        <w:trPr/>
        <w:tc>
          <w:tcPr>
            <w:tcW w:w="1526"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 June 30, 2026</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Aviation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Land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Marine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7,959.5 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13,591.2 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expenses:</w:t>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(7,751.5)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(13,226.0)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Compensation and related costs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Incentive compensation</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Corporate allocations</w:t>
            </w:r>
            <w:r>
              <w:rPr>
                <w:color w:val="000000"/>
              </w:rPr>
              <w:t xml:space="preserve"> </w:t>
            </w:r>
            <w:r>
              <w:rPr>
                <w:rFonts w:ascii="Arial;sans-serif" w:hAnsi="Arial;sans-serif"/>
                <w:b w:val="false"/>
                <w:color w:val="000000"/>
                <w:sz w:val="13"/>
              </w:rPr>
              <w:t>(1)</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Provision for credit losses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Goodwill and other asset impairments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and exit costs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Other segment expenses </w:t>
            </w:r>
            <w:r>
              <w:rPr>
                <w:rFonts w:ascii="Arial;sans-serif" w:hAnsi="Arial;sans-serif"/>
                <w:b w:val="false"/>
                <w:color w:val="000000"/>
                <w:sz w:val="13"/>
              </w:rPr>
              <w:t>(2)</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Operating income - segment profit (loss)</w:t>
            </w:r>
          </w:p>
        </w:tc>
        <w:tc>
          <w:tcPr>
            <w:tcW w:w="11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Unallocated corporate expenses</w:t>
            </w:r>
            <w:r>
              <w:rPr>
                <w:color w:val="000000"/>
              </w:rPr>
              <w:t xml:space="preserve"> </w:t>
            </w:r>
            <w:r>
              <w:rPr>
                <w:rFonts w:ascii="Arial;sans-serif" w:hAnsi="Arial;sans-serif"/>
                <w:b w:val="false"/>
                <w:color w:val="000000"/>
                <w:sz w:val="13"/>
              </w:rPr>
              <w:t>(3)</w:t>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and other financing costs, net</w:t>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(loss) before income taxes</w:t>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Six Months Ended June 30, 2026</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Aviation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Land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Marine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13,004.6 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5,443.8 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4,827.7 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23,276.2 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expenses:</w:t>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(12,658.4)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(5,299.8)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(4,681.7)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(22,639.8)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Compensation and related costs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Incentive compensation</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Corporate allocations</w:t>
            </w:r>
            <w:r>
              <w:rPr>
                <w:color w:val="000000"/>
              </w:rPr>
              <w:t xml:space="preserve"> </w:t>
            </w:r>
            <w:r>
              <w:rPr>
                <w:rFonts w:ascii="Arial;sans-serif" w:hAnsi="Arial;sans-serif"/>
                <w:b w:val="false"/>
                <w:color w:val="000000"/>
                <w:sz w:val="13"/>
              </w:rPr>
              <w:t>(1)</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Provision for credit losses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 and other asset impairments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and exit costs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Other segment expenses </w:t>
            </w:r>
            <w:r>
              <w:rPr>
                <w:rFonts w:ascii="Arial;sans-serif" w:hAnsi="Arial;sans-serif"/>
                <w:b w:val="false"/>
                <w:color w:val="000000"/>
                <w:sz w:val="13"/>
              </w:rPr>
              <w:t>(2)</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Operating income - segment profit (loss)</w:t>
            </w:r>
          </w:p>
        </w:tc>
        <w:tc>
          <w:tcPr>
            <w:tcW w:w="11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Unallocated corporate expenses </w:t>
            </w:r>
            <w:r>
              <w:rPr>
                <w:rFonts w:ascii="Arial;sans-serif" w:hAnsi="Arial;sans-serif"/>
                <w:b w:val="false"/>
                <w:color w:val="000000"/>
                <w:sz w:val="13"/>
              </w:rPr>
              <w:t>(3)</w:t>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and other financing costs, net</w:t>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(loss) before income taxes</w:t>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98.5 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before="0" w:after="120"/>
        <w:jc w:val="both"/>
        <w:rPr/>
      </w:pPr>
      <w:r>
        <w:rPr/>
      </w:r>
    </w:p>
    <w:p>
      <w:pPr>
        <w:pStyle w:val="TextBody"/>
        <w:bidi w:val="0"/>
        <w:spacing w:before="240" w:after="240"/>
        <w:jc w:val="left"/>
        <w:rPr/>
      </w:pPr>
      <w:r>
        <w:rPr/>
      </w:r>
    </w:p>
    <w:tbl>
      <w:tblPr>
        <w:tblW w:w="9869" w:type="dxa"/>
        <w:jc w:val="left"/>
        <w:tblInd w:w="0" w:type="dxa"/>
        <w:tblLayout w:type="fixed"/>
        <w:tblCellMar>
          <w:top w:w="28" w:type="dxa"/>
          <w:left w:w="28" w:type="dxa"/>
          <w:bottom w:w="28" w:type="dxa"/>
          <w:right w:w="28" w:type="dxa"/>
        </w:tblCellMar>
      </w:tblPr>
      <w:tblGrid>
        <w:gridCol w:w="1526"/>
        <w:gridCol w:w="1337"/>
        <w:gridCol w:w="1351"/>
        <w:gridCol w:w="211"/>
        <w:gridCol w:w="811"/>
        <w:gridCol w:w="109"/>
        <w:gridCol w:w="109"/>
        <w:gridCol w:w="109"/>
        <w:gridCol w:w="109"/>
        <w:gridCol w:w="211"/>
        <w:gridCol w:w="811"/>
        <w:gridCol w:w="109"/>
        <w:gridCol w:w="109"/>
        <w:gridCol w:w="109"/>
        <w:gridCol w:w="109"/>
        <w:gridCol w:w="211"/>
        <w:gridCol w:w="811"/>
        <w:gridCol w:w="109"/>
        <w:gridCol w:w="109"/>
        <w:gridCol w:w="109"/>
        <w:gridCol w:w="109"/>
        <w:gridCol w:w="211"/>
        <w:gridCol w:w="916"/>
        <w:gridCol w:w="154"/>
      </w:tblGrid>
      <w:tr>
        <w:trPr/>
        <w:tc>
          <w:tcPr>
            <w:tcW w:w="1526"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 June 30, 2025</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Aviation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Land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Marine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4,725.1 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9,043.3 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expenses:</w:t>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(4,587.1)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(8,810.9)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Compensation and related costs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Incentive compensation</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Corporate allocations</w:t>
            </w:r>
            <w:r>
              <w:rPr>
                <w:color w:val="000000"/>
              </w:rPr>
              <w:t xml:space="preserve"> </w:t>
            </w:r>
            <w:r>
              <w:rPr>
                <w:rFonts w:ascii="Arial;sans-serif" w:hAnsi="Arial;sans-serif"/>
                <w:b w:val="false"/>
                <w:color w:val="000000"/>
                <w:sz w:val="13"/>
              </w:rPr>
              <w:t>(1)</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Provision for credit losses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Goodwill and other asset impairments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and exit costs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Other segment expenses </w:t>
            </w:r>
            <w:r>
              <w:rPr>
                <w:rFonts w:ascii="Arial;sans-serif" w:hAnsi="Arial;sans-serif"/>
                <w:b w:val="false"/>
                <w:color w:val="000000"/>
                <w:sz w:val="13"/>
              </w:rPr>
              <w:t>(2)</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Operating income - segment profit (loss)</w:t>
            </w:r>
          </w:p>
        </w:tc>
        <w:tc>
          <w:tcPr>
            <w:tcW w:w="10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(320.8)</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Unallocated corporate expenses</w:t>
            </w:r>
            <w:r>
              <w:rPr>
                <w:color w:val="000000"/>
              </w:rPr>
              <w:t xml:space="preserve"> </w:t>
            </w:r>
            <w:r>
              <w:rPr>
                <w:rFonts w:ascii="Arial;sans-serif" w:hAnsi="Arial;sans-serif"/>
                <w:b w:val="false"/>
                <w:color w:val="000000"/>
                <w:sz w:val="13"/>
              </w:rPr>
              <w:t>(3)</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and other financing costs, net</w:t>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(loss) before income taxes</w:t>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(448.7)</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Six Months Ended June 30, 2025</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Aviation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Land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Marine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9,379.3 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5,290.3 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3,826.1 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18,495.8 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expenses:</w:t>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(9,125.7)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(5,143.9)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(18,033.0)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Compensation and related costs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Incentive compensation</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Corporate allocations</w:t>
            </w:r>
            <w:r>
              <w:rPr>
                <w:color w:val="000000"/>
              </w:rPr>
              <w:t xml:space="preserve"> </w:t>
            </w:r>
            <w:r>
              <w:rPr>
                <w:rFonts w:ascii="Arial;sans-serif" w:hAnsi="Arial;sans-serif"/>
                <w:b w:val="false"/>
                <w:color w:val="000000"/>
                <w:sz w:val="13"/>
              </w:rPr>
              <w:t>(1)</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Provision for credit losses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 and other asset impairments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and exit costs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Other segment expenses </w:t>
            </w:r>
            <w:r>
              <w:rPr>
                <w:rFonts w:ascii="Arial;sans-serif" w:hAnsi="Arial;sans-serif"/>
                <w:b w:val="false"/>
                <w:color w:val="000000"/>
                <w:sz w:val="13"/>
              </w:rPr>
              <w:t>(2)</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Operating income - segment profit (loss)</w:t>
            </w:r>
          </w:p>
        </w:tc>
        <w:tc>
          <w:tcPr>
            <w:tcW w:w="10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(412.2)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(295.1)</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Unallocated corporate expenses </w:t>
            </w:r>
            <w:r>
              <w:rPr>
                <w:rFonts w:ascii="Arial;sans-serif" w:hAnsi="Arial;sans-serif"/>
                <w:b w:val="false"/>
                <w:color w:val="000000"/>
                <w:sz w:val="13"/>
              </w:rPr>
              <w:t>(3)</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and other financing costs, net</w:t>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(loss) before income taxes</w:t>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(476.8)</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pPr>
      <w:r>
        <w:rPr>
          <w:rFonts w:ascii="Arial;sans-serif" w:hAnsi="Arial;sans-serif"/>
          <w:b w:val="false"/>
          <w:color w:val="000000"/>
          <w:sz w:val="13"/>
        </w:rPr>
        <w:t>(1)</w:t>
      </w:r>
      <w:r>
        <w:rPr>
          <w:rFonts w:ascii="Arial;sans-serif" w:hAnsi="Arial;sans-serif"/>
          <w:b w:val="false"/>
          <w:color w:val="000000"/>
          <w:sz w:val="20"/>
        </w:rPr>
        <w:t>Includes allocations of compensation costs and general and administrative expenses.</w:t>
      </w:r>
    </w:p>
    <w:p>
      <w:pPr>
        <w:pStyle w:val="TextBody"/>
        <w:bidi w:val="0"/>
        <w:spacing w:lineRule="auto" w:line="288" w:before="0" w:after="120"/>
        <w:ind w:left="0" w:right="0" w:hanging="360"/>
        <w:jc w:val="both"/>
        <w:rPr/>
      </w:pPr>
      <w:r>
        <w:rPr>
          <w:rFonts w:ascii="Arial;sans-serif" w:hAnsi="Arial;sans-serif"/>
          <w:b w:val="false"/>
          <w:color w:val="000000"/>
          <w:sz w:val="13"/>
        </w:rPr>
        <w:t>(2)</w:t>
      </w:r>
      <w:r>
        <w:rPr>
          <w:rFonts w:ascii="Arial;sans-serif" w:hAnsi="Arial;sans-serif"/>
          <w:b w:val="false"/>
          <w:color w:val="000000"/>
          <w:sz w:val="20"/>
        </w:rPr>
        <w:t>Other segment expenses include professional fees, office expenses and general insurance, technology related expenses, travel and entertainment, and other general and administrative expenses.</w:t>
      </w:r>
    </w:p>
    <w:p>
      <w:pPr>
        <w:pStyle w:val="TextBody"/>
        <w:bidi w:val="0"/>
        <w:spacing w:lineRule="auto" w:line="288" w:before="0" w:after="120"/>
        <w:ind w:left="0" w:right="0" w:hanging="360"/>
        <w:jc w:val="both"/>
        <w:rPr/>
      </w:pPr>
      <w:r>
        <w:rPr>
          <w:rFonts w:ascii="Arial;sans-serif" w:hAnsi="Arial;sans-serif"/>
          <w:b w:val="false"/>
          <w:color w:val="000000"/>
          <w:sz w:val="13"/>
        </w:rPr>
        <w:t>(3)</w:t>
      </w:r>
      <w:r>
        <w:rPr>
          <w:rFonts w:ascii="Arial;sans-serif" w:hAnsi="Arial;sans-serif"/>
          <w:b w:val="false"/>
          <w:color w:val="000000"/>
          <w:sz w:val="20"/>
        </w:rPr>
        <w:t>Unallocated corporate expenses include corporate compensation costs and general and administrative expenses which are not allocated to the operating segments, as well as certain asset impairment charges related to equity investments at non-core businesses.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before="0" w:after="120"/>
        <w:jc w:val="both"/>
        <w:rPr/>
      </w:pPr>
      <w:r>
        <w:rPr/>
      </w:r>
    </w:p>
    <w:p>
      <w:pPr>
        <w:pStyle w:val="TextBody"/>
        <w:bidi w:val="0"/>
        <w:spacing w:before="240" w:after="240"/>
        <w:jc w:val="left"/>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Information concerning our capital expenditures and depreciation and amortization by segment is as follows (in millions):</w:t>
      </w:r>
    </w:p>
    <w:tbl>
      <w:tblPr>
        <w:tblW w:w="10205" w:type="dxa"/>
        <w:jc w:val="left"/>
        <w:tblInd w:w="0" w:type="dxa"/>
        <w:tblLayout w:type="fixed"/>
        <w:tblCellMar>
          <w:top w:w="28" w:type="dxa"/>
          <w:left w:w="28" w:type="dxa"/>
          <w:bottom w:w="28" w:type="dxa"/>
          <w:right w:w="28" w:type="dxa"/>
        </w:tblCellMar>
      </w:tblPr>
      <w:tblGrid>
        <w:gridCol w:w="691"/>
        <w:gridCol w:w="591"/>
        <w:gridCol w:w="594"/>
        <w:gridCol w:w="213"/>
        <w:gridCol w:w="547"/>
        <w:gridCol w:w="111"/>
        <w:gridCol w:w="109"/>
        <w:gridCol w:w="109"/>
        <w:gridCol w:w="109"/>
        <w:gridCol w:w="211"/>
        <w:gridCol w:w="541"/>
        <w:gridCol w:w="109"/>
        <w:gridCol w:w="109"/>
        <w:gridCol w:w="109"/>
        <w:gridCol w:w="109"/>
        <w:gridCol w:w="211"/>
        <w:gridCol w:w="436"/>
        <w:gridCol w:w="109"/>
        <w:gridCol w:w="109"/>
        <w:gridCol w:w="109"/>
        <w:gridCol w:w="109"/>
        <w:gridCol w:w="276"/>
        <w:gridCol w:w="709"/>
        <w:gridCol w:w="144"/>
        <w:gridCol w:w="109"/>
        <w:gridCol w:w="109"/>
        <w:gridCol w:w="109"/>
        <w:gridCol w:w="471"/>
        <w:gridCol w:w="975"/>
        <w:gridCol w:w="245"/>
        <w:gridCol w:w="109"/>
        <w:gridCol w:w="109"/>
        <w:gridCol w:w="109"/>
        <w:gridCol w:w="321"/>
        <w:gridCol w:w="824"/>
        <w:gridCol w:w="241"/>
      </w:tblGrid>
      <w:tr>
        <w:trPr/>
        <w:tc>
          <w:tcPr>
            <w:tcW w:w="6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1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9"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 June 30, 2026</w:t>
            </w:r>
          </w:p>
        </w:tc>
      </w:tr>
      <w:tr>
        <w:trPr/>
        <w:tc>
          <w:tcPr>
            <w:tcW w:w="1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Aviation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Land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Marine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Segment 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Corporate - Unallocated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Consolidated</w:t>
            </w:r>
          </w:p>
        </w:tc>
      </w:tr>
      <w:tr>
        <w:trPr/>
        <w:tc>
          <w:tcPr>
            <w:tcW w:w="18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Depreciation and amortization</w:t>
            </w:r>
            <w:r>
              <w:rPr>
                <w:color w:val="000000"/>
              </w:rPr>
              <w:t xml:space="preserve"> </w:t>
            </w:r>
            <w:r>
              <w:rPr>
                <w:rFonts w:ascii="Arial;sans-serif" w:hAnsi="Arial;sans-serif"/>
                <w:b w:val="false"/>
                <w:color w:val="000000"/>
                <w:sz w:val="13"/>
              </w:rPr>
              <w:t>(1)</w:t>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Capital expenditures</w:t>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9" w:type="dxa"/>
            <w:gridSpan w:val="3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Six Months Ended June 30, 2026</w:t>
            </w:r>
          </w:p>
        </w:tc>
      </w:tr>
      <w:tr>
        <w:trPr/>
        <w:tc>
          <w:tcPr>
            <w:tcW w:w="1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Aviation</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Land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Marine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Segment Total</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Corporate - Unallocated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Consolidated</w:t>
            </w:r>
          </w:p>
        </w:tc>
      </w:tr>
      <w:tr>
        <w:trPr/>
        <w:tc>
          <w:tcPr>
            <w:tcW w:w="18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Depreciation and amortization</w:t>
            </w:r>
            <w:r>
              <w:rPr>
                <w:color w:val="000000"/>
              </w:rPr>
              <w:t xml:space="preserve"> </w:t>
            </w:r>
            <w:r>
              <w:rPr>
                <w:rFonts w:ascii="Arial;sans-serif" w:hAnsi="Arial;sans-serif"/>
                <w:b w:val="false"/>
                <w:color w:val="000000"/>
                <w:sz w:val="13"/>
              </w:rPr>
              <w:t>(1)</w:t>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36.4 </w:t>
            </w:r>
          </w:p>
        </w:tc>
        <w:tc>
          <w:tcPr>
            <w:tcW w:w="1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7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2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40.2 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Capital expenditures</w:t>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91"/>
        <w:gridCol w:w="591"/>
        <w:gridCol w:w="594"/>
        <w:gridCol w:w="213"/>
        <w:gridCol w:w="547"/>
        <w:gridCol w:w="111"/>
        <w:gridCol w:w="109"/>
        <w:gridCol w:w="109"/>
        <w:gridCol w:w="109"/>
        <w:gridCol w:w="211"/>
        <w:gridCol w:w="541"/>
        <w:gridCol w:w="109"/>
        <w:gridCol w:w="109"/>
        <w:gridCol w:w="109"/>
        <w:gridCol w:w="109"/>
        <w:gridCol w:w="211"/>
        <w:gridCol w:w="436"/>
        <w:gridCol w:w="109"/>
        <w:gridCol w:w="109"/>
        <w:gridCol w:w="109"/>
        <w:gridCol w:w="109"/>
        <w:gridCol w:w="276"/>
        <w:gridCol w:w="709"/>
        <w:gridCol w:w="144"/>
        <w:gridCol w:w="109"/>
        <w:gridCol w:w="109"/>
        <w:gridCol w:w="109"/>
        <w:gridCol w:w="471"/>
        <w:gridCol w:w="975"/>
        <w:gridCol w:w="245"/>
        <w:gridCol w:w="109"/>
        <w:gridCol w:w="109"/>
        <w:gridCol w:w="109"/>
        <w:gridCol w:w="321"/>
        <w:gridCol w:w="824"/>
        <w:gridCol w:w="241"/>
      </w:tblGrid>
      <w:tr>
        <w:trPr/>
        <w:tc>
          <w:tcPr>
            <w:tcW w:w="6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1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9"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 June 30, 2025</w:t>
            </w:r>
          </w:p>
        </w:tc>
      </w:tr>
      <w:tr>
        <w:trPr/>
        <w:tc>
          <w:tcPr>
            <w:tcW w:w="1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Aviation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Land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Marine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Segment 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Corporate - Unallocated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Consolidated</w:t>
            </w:r>
          </w:p>
        </w:tc>
      </w:tr>
      <w:tr>
        <w:trPr/>
        <w:tc>
          <w:tcPr>
            <w:tcW w:w="18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Depreciation and amortization</w:t>
            </w:r>
            <w:r>
              <w:rPr>
                <w:color w:val="000000"/>
              </w:rPr>
              <w:t xml:space="preserve"> </w:t>
            </w:r>
            <w:r>
              <w:rPr>
                <w:rFonts w:ascii="Arial;sans-serif" w:hAnsi="Arial;sans-serif"/>
                <w:b w:val="false"/>
                <w:color w:val="000000"/>
                <w:sz w:val="13"/>
              </w:rPr>
              <w:t>(1)</w:t>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Capital expenditures</w:t>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9" w:type="dxa"/>
            <w:gridSpan w:val="3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Six Months Ended June 30, 2025</w:t>
            </w:r>
          </w:p>
        </w:tc>
      </w:tr>
      <w:tr>
        <w:trPr/>
        <w:tc>
          <w:tcPr>
            <w:tcW w:w="1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Aviation</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Land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Marine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Segment Total</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Corporate - Unallocated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Consolidated</w:t>
            </w:r>
          </w:p>
        </w:tc>
      </w:tr>
      <w:tr>
        <w:trPr/>
        <w:tc>
          <w:tcPr>
            <w:tcW w:w="18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Depreciation and amortization</w:t>
            </w:r>
            <w:r>
              <w:rPr>
                <w:color w:val="000000"/>
              </w:rPr>
              <w:t xml:space="preserve"> </w:t>
            </w:r>
            <w:r>
              <w:rPr>
                <w:rFonts w:ascii="Arial;sans-serif" w:hAnsi="Arial;sans-serif"/>
                <w:b w:val="false"/>
                <w:color w:val="000000"/>
                <w:sz w:val="13"/>
              </w:rPr>
              <w:t>(1)</w:t>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46.1 </w:t>
            </w:r>
          </w:p>
        </w:tc>
        <w:tc>
          <w:tcPr>
            <w:tcW w:w="1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7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2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49.5 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Capital expenditures</w:t>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both"/>
        <w:rPr/>
      </w:pPr>
      <w:r>
        <w:rPr>
          <w:rFonts w:ascii="Arial;sans-serif" w:hAnsi="Arial;sans-serif"/>
          <w:b w:val="false"/>
          <w:color w:val="000000"/>
          <w:sz w:val="13"/>
        </w:rPr>
        <w:t>(1)</w:t>
      </w:r>
      <w:r>
        <w:rPr>
          <w:rFonts w:ascii="Arial;sans-serif" w:hAnsi="Arial;sans-serif"/>
          <w:b w:val="false"/>
          <w:color w:val="000000"/>
          <w:sz w:val="20"/>
        </w:rPr>
        <w:t>Total depreciation and amortization as presented includes charges classified within Cost of revenue and Operating expenses in our Condensed Consolidated Statements of Income and Comprehensive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Information concerning our Accounts receivable, net of allowance for credit losses and Total assets by reportable segment is as follows (in millions):</w:t>
      </w:r>
    </w:p>
    <w:tbl>
      <w:tblPr>
        <w:tblW w:w="6832" w:type="dxa"/>
        <w:jc w:val="left"/>
        <w:tblInd w:w="0" w:type="dxa"/>
        <w:tblLayout w:type="fixed"/>
        <w:tblCellMar>
          <w:top w:w="28" w:type="dxa"/>
          <w:left w:w="28" w:type="dxa"/>
          <w:bottom w:w="28" w:type="dxa"/>
          <w:right w:w="28" w:type="dxa"/>
        </w:tblCellMar>
      </w:tblPr>
      <w:tblGrid>
        <w:gridCol w:w="1059"/>
        <w:gridCol w:w="930"/>
        <w:gridCol w:w="935"/>
        <w:gridCol w:w="109"/>
        <w:gridCol w:w="109"/>
        <w:gridCol w:w="109"/>
        <w:gridCol w:w="254"/>
        <w:gridCol w:w="979"/>
        <w:gridCol w:w="131"/>
        <w:gridCol w:w="109"/>
        <w:gridCol w:w="109"/>
        <w:gridCol w:w="109"/>
        <w:gridCol w:w="339"/>
        <w:gridCol w:w="1304"/>
        <w:gridCol w:w="247"/>
      </w:tblGrid>
      <w:tr>
        <w:trPr/>
        <w:tc>
          <w:tcPr>
            <w:tcW w:w="105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2025</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Aviation segment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1,671.2 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1,119.7 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Land 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523.2 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592.5 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Marine segment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747.7 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496.2 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2,942.2 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2,208.5 </w:t>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Aviation 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3,209.6 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2,588.7 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Land segment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2,131.3 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Marine 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969.0 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701.4 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reportable segment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6,188.6 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5,421.4 </w:t>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410.3 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442.5 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6,598.9 </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5,863.9 </w:t>
            </w:r>
          </w:p>
        </w:tc>
        <w:tc>
          <w:tcPr>
            <w:tcW w:w="2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before="0" w:after="120"/>
        <w:jc w:val="both"/>
        <w:rPr/>
      </w:pPr>
      <w:r>
        <w:rPr/>
      </w:r>
    </w:p>
    <w:p>
      <w:pPr>
        <w:pStyle w:val="TextBody"/>
        <w:bidi w:val="0"/>
        <w:spacing w:before="240" w:after="240"/>
        <w:jc w:val="left"/>
        <w:rPr/>
      </w:pPr>
      <w:r>
        <w:rPr/>
      </w:r>
    </w:p>
    <w:p>
      <w:pPr>
        <w:pStyle w:val="TextBody"/>
        <w:bidi w:val="0"/>
        <w:spacing w:lineRule="auto" w:line="288" w:before="240" w:after="240"/>
        <w:jc w:val="left"/>
        <w:rPr>
          <w:rFonts w:ascii="Arial;sans-serif" w:hAnsi="Arial;sans-serif"/>
          <w:b/>
          <w:color w:val="000000"/>
          <w:sz w:val="20"/>
        </w:rPr>
      </w:pPr>
      <w:r>
        <w:rPr>
          <w:rFonts w:ascii="Arial;sans-serif" w:hAnsi="Arial;sans-serif"/>
          <w:b/>
          <w:color w:val="000000"/>
          <w:sz w:val="20"/>
        </w:rPr>
        <w:t>13. Earnings Per Common Share</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following table sets forth the computation of basic and diluted earnings per common share for the periods presented (in millions, except per share amounts):</w:t>
      </w:r>
    </w:p>
    <w:tbl>
      <w:tblPr>
        <w:tblW w:w="10205" w:type="dxa"/>
        <w:jc w:val="left"/>
        <w:tblInd w:w="0" w:type="dxa"/>
        <w:tblLayout w:type="fixed"/>
        <w:tblCellMar>
          <w:top w:w="28" w:type="dxa"/>
          <w:left w:w="28" w:type="dxa"/>
          <w:bottom w:w="28" w:type="dxa"/>
          <w:right w:w="28" w:type="dxa"/>
        </w:tblCellMar>
      </w:tblPr>
      <w:tblGrid>
        <w:gridCol w:w="1771"/>
        <w:gridCol w:w="1423"/>
        <w:gridCol w:w="1427"/>
        <w:gridCol w:w="109"/>
        <w:gridCol w:w="109"/>
        <w:gridCol w:w="109"/>
        <w:gridCol w:w="239"/>
        <w:gridCol w:w="613"/>
        <w:gridCol w:w="123"/>
        <w:gridCol w:w="123"/>
        <w:gridCol w:w="123"/>
        <w:gridCol w:w="123"/>
        <w:gridCol w:w="239"/>
        <w:gridCol w:w="754"/>
        <w:gridCol w:w="123"/>
        <w:gridCol w:w="109"/>
        <w:gridCol w:w="109"/>
        <w:gridCol w:w="109"/>
        <w:gridCol w:w="234"/>
        <w:gridCol w:w="601"/>
        <w:gridCol w:w="121"/>
        <w:gridCol w:w="121"/>
        <w:gridCol w:w="121"/>
        <w:gridCol w:w="121"/>
        <w:gridCol w:w="234"/>
        <w:gridCol w:w="737"/>
        <w:gridCol w:w="180"/>
      </w:tblGrid>
      <w:tr>
        <w:trPr/>
        <w:tc>
          <w:tcPr>
            <w:tcW w:w="1771"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4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Six Months Ended June 30,</w:t>
            </w:r>
          </w:p>
        </w:tc>
      </w:tr>
      <w:tr>
        <w:trPr/>
        <w:tc>
          <w:tcPr>
            <w:tcW w:w="4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4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 attributable to World Kinect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(339.4)</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Denominator: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common shares for basic earnings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 of dilutive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common shares for diluted earnings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51.6 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56.0 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51.8 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56.5 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earnings (loss)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0.94 </w:t>
            </w:r>
          </w:p>
        </w:tc>
        <w:tc>
          <w:tcPr>
            <w:tcW w:w="12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(6.06)</w:t>
            </w:r>
          </w:p>
        </w:tc>
        <w:tc>
          <w:tcPr>
            <w:tcW w:w="12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1.45 </w:t>
            </w:r>
          </w:p>
        </w:tc>
        <w:tc>
          <w:tcPr>
            <w:tcW w:w="12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(6.38)</w:t>
            </w:r>
          </w:p>
        </w:tc>
        <w:tc>
          <w:tcPr>
            <w:tcW w:w="18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earnings (loss)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0.94 </w:t>
            </w:r>
          </w:p>
        </w:tc>
        <w:tc>
          <w:tcPr>
            <w:tcW w:w="12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(6.06)</w:t>
            </w:r>
          </w:p>
        </w:tc>
        <w:tc>
          <w:tcPr>
            <w:tcW w:w="12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1.44 </w:t>
            </w:r>
          </w:p>
        </w:tc>
        <w:tc>
          <w:tcPr>
            <w:tcW w:w="12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(6.38)</w:t>
            </w:r>
          </w:p>
        </w:tc>
        <w:tc>
          <w:tcPr>
            <w:tcW w:w="18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securities which are not included in the calculation of diluted earnings per common share because their impact is anti-dilutive or their performance conditions have not been met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0.8 </w:t>
            </w:r>
          </w:p>
        </w:tc>
        <w:tc>
          <w:tcPr>
            <w:tcW w:w="123"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23"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12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80"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color w:val="000000"/>
          <w:sz w:val="20"/>
        </w:rPr>
      </w:pPr>
      <w:r>
        <w:rPr>
          <w:rFonts w:ascii="Arial;sans-serif" w:hAnsi="Arial;sans-serif"/>
          <w:b/>
          <w:color w:val="000000"/>
          <w:sz w:val="20"/>
        </w:rPr>
        <w:t>14. Restructuring and Exit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2026 Exit Activities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During the first half of 2026, management continued to execute the plan initiated in 2025 to exit certain operations within the land segment that are no longer profitable or not aligned with the Company's core business and corporate strategy. As a result of the actions taken during the six months ended June 30, 2026, we recognized charges for exit activities totaling $6.1 million, comprised of charges associated with various legal matters and contract termination costs of $10.2 million and severance and compensation costs of $4.1 million, which were partially offset by a net gain on the sale of assets of $8.2 million. In addition, as a result of the actions taken in 2026, we wrote off accounts receivable of $3.0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2025 Exit Activities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During the fourth quarter of 2025, management committed to and initiated actions to execute a plan to exit certain operations within the land segment that were no longer profitable or not aligned with the Company's core business and corporate strategy. As a result, the Company has begun the process of exiting direct fuel transportation services, lubricants, heating oil, power, and certain advisory and sustainability offerings, including the Land Fuel Transportation and Lubricants disposal group as discussed in Note 2. Acquisitions and Divestitures. As a result of the actions taken, we recognized charges for exit activities totaling $57.8 million during the year ended December 31, 2025, comprised of severance and compensation costs of $26.2 million, charges associated with various legal matters and contract termination costs of $21.7 million, write-offs of receivables and other assets of $5.1 million, and a loss on the sale of assets of $4.7 million. In addition, we recognized asset impairment charges of $5.8 million related to assets no longer in use or expected to provide nominal future economic benefit.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2025 Restructuring Plan</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During the first quarter of 2025, in alignment with ongoing efforts to rationalize our assets and operations, we began a company-wide restructuring initiative designed to further streamline our operating model and enhance organizational efficiency and effectiveness (the "2025 Restructuring Plan"). As part of this initiative, we undertook cost management actions in response to the current and projected business needs, including the closure of certain open positions and the elimination of other roles to better align the workforce with our current strategic priorities. As a component of the 2025 Restructuring Plan, in June 2025, we launched a program intended to optimize our global finance and accounting operations. During the fourth quarter of 2025, we announced an executive transition as a component of the 2025 Restructuring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before="0" w:after="120"/>
        <w:jc w:val="both"/>
        <w:rPr/>
      </w:pPr>
      <w:r>
        <w:rPr/>
      </w:r>
    </w:p>
    <w:p>
      <w:pPr>
        <w:pStyle w:val="TextBody"/>
        <w:bidi w:val="0"/>
        <w:spacing w:before="240" w:after="240"/>
        <w:jc w:val="left"/>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As a result of the actions taken under the 2025 Restructuring Plan, we recognized $45.2 million of restructuring charges associated with the 2025 Restructuring Plan during the year ended December 31, 2025, including $32.7 million of severance and other compensation costs and $12.6 million of other transition related costs. During the six months ended June 30, 2026, we recognized $9.5 million of charges associated with the 2025 Restructuring Plan, consisting primarily of costs associated with the global finance and accounting optimization program as well as additional severance and other compensation costs. </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We plan to complete the transition activities associated with the global finance and accounting optimization in the fourth quarter of 2026 and expect to recognize an additional $4.4 million in transition costs and one-time charges associated with the planned initiatives during the year ending December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Rollforward of Restructuring and Exit Activity Accruals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following table provides a summary of our accruals for severance and other compensation cost activities as well as other transition costs as part of current and previously completed restructuring plans and other exit activities (in millions):</w:t>
      </w:r>
    </w:p>
    <w:tbl>
      <w:tblPr>
        <w:tblW w:w="10037" w:type="dxa"/>
        <w:jc w:val="left"/>
        <w:tblInd w:w="0" w:type="dxa"/>
        <w:tblLayout w:type="fixed"/>
        <w:tblCellMar>
          <w:top w:w="28" w:type="dxa"/>
          <w:left w:w="28" w:type="dxa"/>
          <w:bottom w:w="28" w:type="dxa"/>
          <w:right w:w="28" w:type="dxa"/>
        </w:tblCellMar>
      </w:tblPr>
      <w:tblGrid>
        <w:gridCol w:w="1389"/>
        <w:gridCol w:w="1221"/>
        <w:gridCol w:w="1229"/>
        <w:gridCol w:w="243"/>
        <w:gridCol w:w="502"/>
        <w:gridCol w:w="126"/>
        <w:gridCol w:w="109"/>
        <w:gridCol w:w="109"/>
        <w:gridCol w:w="109"/>
        <w:gridCol w:w="211"/>
        <w:gridCol w:w="541"/>
        <w:gridCol w:w="109"/>
        <w:gridCol w:w="109"/>
        <w:gridCol w:w="109"/>
        <w:gridCol w:w="109"/>
        <w:gridCol w:w="211"/>
        <w:gridCol w:w="436"/>
        <w:gridCol w:w="109"/>
        <w:gridCol w:w="109"/>
        <w:gridCol w:w="109"/>
        <w:gridCol w:w="109"/>
        <w:gridCol w:w="250"/>
        <w:gridCol w:w="641"/>
        <w:gridCol w:w="130"/>
        <w:gridCol w:w="109"/>
        <w:gridCol w:w="109"/>
        <w:gridCol w:w="109"/>
        <w:gridCol w:w="321"/>
        <w:gridCol w:w="824"/>
        <w:gridCol w:w="236"/>
      </w:tblGrid>
      <w:tr>
        <w:trPr/>
        <w:tc>
          <w:tcPr>
            <w:tcW w:w="1389"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Aviation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Consolidated</w:t>
            </w:r>
          </w:p>
        </w:tc>
      </w:tr>
      <w:tr>
        <w:trPr/>
        <w:tc>
          <w:tcPr>
            <w:tcW w:w="3839"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r>
      <w:tr>
        <w:trPr/>
        <w:tc>
          <w:tcPr>
            <w:tcW w:w="3839"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r>
      <w:tr>
        <w:trPr/>
        <w:tc>
          <w:tcPr>
            <w:tcW w:w="3839"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charges as of December 31, 2025</w:t>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46.6 </w:t>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Restructuring and exit activity charges</w:t>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Paid during the period</w:t>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charges as of June 30, 2026</w:t>
            </w:r>
          </w:p>
        </w:tc>
        <w:tc>
          <w:tcPr>
            <w:tcW w:w="2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8.0 </w:t>
            </w:r>
          </w:p>
        </w:tc>
        <w:tc>
          <w:tcPr>
            <w:tcW w:w="1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34.7 </w:t>
            </w:r>
          </w:p>
        </w:tc>
        <w:tc>
          <w:tcPr>
            <w:tcW w:w="2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before="0" w:after="120"/>
        <w:jc w:val="both"/>
        <w:rPr/>
      </w:pPr>
      <w:r>
        <w:rPr/>
      </w:r>
    </w:p>
    <w:p>
      <w:pPr>
        <w:pStyle w:val="TextBody"/>
        <w:bidi w:val="0"/>
        <w:spacing w:before="240" w:after="240"/>
        <w:jc w:val="left"/>
        <w:rPr/>
      </w:pPr>
      <w:r>
        <w:rPr/>
      </w:r>
    </w:p>
    <w:p>
      <w:pPr>
        <w:pStyle w:val="TextBody"/>
        <w:bidi w:val="0"/>
        <w:spacing w:lineRule="auto" w:line="288" w:before="240" w:after="240"/>
        <w:jc w:val="left"/>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following discussion should be read in conjunction with our 2025 10-K Report and the unaudited Condensed Consolidated Financial Statements and related Notes in Item 1 – Financial Statements of this 10-Q Report. A reference to a "Note" herein refers to the accompanying Notes to the Condensed Consolidated Financial Statements contained in Item 1 – Financial Statements. The following discussion may contain forward-looking statements, and our actual results may differ materially from the results suggested by these forward-looking statements. Some factors that may cause our results to differ are disclosed in Item 1A – Risk Factors of our 2025 10-K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This 10-Q Report and the information incorporated by reference in it, or made by us in other reports, filings with the U.S. Securities and Exchange Commission (the "SEC"), press releases, teleconferences, industry conferences or otherwise, contain "forward-looking statements" within the meaning of the Private Securities Litigation Reform Act of 1995. The forward-looking statements include, without limitation, any statement that may predict, forecast, indicate or imply future results, performance or achievements, and may contain the words "believe," "anticipate," "expect," "estimate," "project," "could," "would," "will," "might," "continue," "plan," "ability," "achieve," "can," "intend," "may," "potential," "remain," "strategy," "design," "future," "forecast," "likely," "pursue," "schedule," or words or phrases of similar meaning. Specifically, this 10-Q Report includes forward-looking statements regarding (i) expectations regarding macroeconomic conditions, including inflation and its impact on us, (ii) conditions in the aviation, land, and marine markets and their impact on our business, (iii) growth in our core businesses, (iv) the impact of fuel prices and our working capital, liquidity, and capital expenditure requirements, (v) our expectations and estimates regarding tax, legal and accounting matters, accounting standards and environmental credits, including the impact on our financial statements, (vi) our hedging strategy, (vii) our acquisitions, divestitures, restructurings and other strategic transactions (viii) global trade trends and patterns, including the impact of tariffs and global conflicts, and (ix) estimates regarding the financial impact of our derivative and other trading contracts. Our forward-looking statements are qualified in their entirety by cautionary statements and risk factor disclosures contained in our SEC filings.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These forward-looking statements are estimates and projections reflecting our best judgment and involve risks, uncertainties or other factors relating to our operations and business environment, all of which are difficult to predict and many of which are beyond our control. Although we believe the estimates and projections reflected in the forward-looking statements are reasonable, our expectations may prove to be incorrect. Our actual results may differ materially from the future results, performance or achievements expressed or implied by the forward-looking statements.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Important factors that could cause actual results to differ materially from the results and events anticipated or implied by such forward-looking statements include, but are not limited to:</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customer and counterparty creditworthiness and our ability to collect accounts receivable and settle derivative contracts;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changes in the market prices of, or an unexpected shortage or disruption in the supply of, energy or commodities or extremely high or low fuel prices that continue for an extended period of time;</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adverse conditions in the industries in which our customers operate;</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changes in the political, economic or regulatory environment generally and in the markets in which we operate, including as a result of the current conflicts in the Middle East and Eastern Europe;</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our inability to effectively mitigate certain financial risks and other risks associated with derivatives and our physical fuel products;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our ability to achieve the expected level of benefit from our restructuring activities and cost reduction initiatives;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relationships with our employees and potential labor disputes associated with employees covered by collective bargaining agreements;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our failure to comply with restrictions and covenants governing our outstanding indebtedness;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the impact of cyber, artificial intelligence and other information technology or security related incidents on us, our customers or other parties;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before="0" w:after="120"/>
        <w:jc w:val="both"/>
        <w:rPr/>
      </w:pPr>
      <w:r>
        <w:rPr/>
      </w:r>
    </w:p>
    <w:p>
      <w:pPr>
        <w:pStyle w:val="TextBody"/>
        <w:bidi w:val="0"/>
        <w:spacing w:before="240" w:after="240"/>
        <w:jc w:val="left"/>
        <w:rPr/>
      </w:pPr>
      <w:r>
        <w:rPr/>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the imposition of tariffs or retaliatory tariffs and other trade measures, or renegotiation of existing trade arrangements;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greenhouse gas reduction programs and other environmental and climate change legislation adopted by governments around the world, including cap and trade regimes, carbon taxes, increased efficiency standards and mandates for renewable energy, and increased scrutiny on environmental and carbon offset credits, each of which could increase our operating and compliance costs as well as adversely impact our sales of fuel products;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changes in credit terms extended to us from our suppliers;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non-performance of suppliers on their sale commitments and customers on their purchase commitments;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non-performance of third-party service providers;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our ability to effectively integrate and derive benefits from acquired businesses or fully realize the anticipated benefits of our acquisitions, divestitures and other strategic transactions;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our ability to effectively complete divestitures in accordance with anticipated timing;</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our ability to meet financial forecasts associated with our operating plan;</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lower than expected cash flows and revenues, which could impair our ability to realize the value of recorded intangible assets and goodwill;</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the availability of cash and sufficient liquidity to fund our working capital and strategic investment needs;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currency exchange fluctuations;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inflationary pressures and their impact on our customers or the global economy, including sudden or significant increases in interest rates or a global recession;</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our ability to effectively leverage technology and operating systems and realize the anticipated benefits;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the proliferation of alternative fuel which could result in lower global demand for certain energy sources;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failure to meet fuel and other product specifications agreed with our customers;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environmental and other risks associated with the storage, transportation and delivery of petroleum products;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reputational harm from adverse publicity arising out of spills, environmental contamination or public perception about the impacts on climate change by us or other companies in our industry;</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risks associated with operating in high-risk locations, including supply disruptions, border or route closures and other logistical difficulties that arise when working in these areas;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uninsured or underinsured losses;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seasonal variability that adversely affects our revenues and operating results, as well as the impact of natural disasters, such as earthquakes, hurricanes and wildfires;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pandemics, terrorism, global conflicts, power outages, and other events that could impact demand for fuel;</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declines in the value and liquidity of cash equivalents and investments;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our ability to retain and attract senior management and other key employees;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changes in U.S. or foreign tax laws, interpretations of such laws, changes in the mix of taxable income among different tax jurisdictions, or adverse results of tax audits, assessments, or disputes;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our failure to generate sufficient future taxable income in jurisdictions with material deferred tax assets and net operating loss carryforwards;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changes in multilateral conventions, treaties, tariffs and trade measures or other arrangements between or among sovereign nations;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our ability to comply with U.S. and international laws and regulations, including those related to anti-corruption, economic sanction programs and environmental matters;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the outcome of litigation, regulatory investigations and other legal matters, including the associated legal and other costs;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before="0" w:after="120"/>
        <w:jc w:val="both"/>
        <w:rPr/>
      </w:pPr>
      <w:r>
        <w:rPr/>
      </w:r>
    </w:p>
    <w:p>
      <w:pPr>
        <w:pStyle w:val="TextBody"/>
        <w:bidi w:val="0"/>
        <w:spacing w:before="240" w:after="240"/>
        <w:jc w:val="left"/>
        <w:rPr/>
      </w:pPr>
      <w:r>
        <w:rPr/>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other risks, including those described in Item 1A – Risk Factors in our 2025 10-K Report, together with those described from time to time in our other filings with the SEC.</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We operate in a very competitive and rapidly changing environment. New risks emerge from time to time. It is not possible for us to predict all of those risks, nor can we assess the impact of all of those risks on our business or the extent to which any factor may cause actual results to differ materially from those contained in any forward-looking statement. Further, forward-looking statements speak only as of the date they are made, and unless required by law, we expressly disclaim any obligation or undertaking to publicly update any of them in light of new information, future events, or otherwise. Any public statements or disclosures by us following this 10-Q Report that modify or impact any of the forward-looking statements contained in or accompanying this 10-Q Report will be deemed to modify or supersede such forward-looking statements.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For these statements, we claim the protection of the safe harbor for forward-looking statements contained in Section 27A of the Securities Act of 1933, as amended, and Section 21E of the Securities Exchange Act of 1934, as amended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Business Overview</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We are a leading global provider of aviation, marine, and ground-based transportation fuels and complementary services operating under our core commercial brand, World Fuel. Through an integrated global supply and logistics network, we source and distribute products and services to meet customer needs across more than 200 countries and territories throughout the world, including lower-carbon fuels to support our customers' energy-transition objectives. In the United States, we also market natural gas and related solutions.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Restructuring and Exit Activities</w:t>
      </w:r>
    </w:p>
    <w:p>
      <w:pPr>
        <w:pStyle w:val="TextBody"/>
        <w:bidi w:val="0"/>
        <w:spacing w:lineRule="auto" w:line="288" w:before="240" w:after="283"/>
        <w:jc w:val="left"/>
        <w:rPr>
          <w:rFonts w:ascii="Arial;sans-serif" w:hAnsi="Arial;sans-serif"/>
          <w:b w:val="false"/>
          <w:color w:val="000000"/>
          <w:sz w:val="20"/>
          <w:u w:val="single"/>
        </w:rPr>
      </w:pPr>
      <w:r>
        <w:rPr>
          <w:rFonts w:ascii="Arial;sans-serif" w:hAnsi="Arial;sans-serif"/>
          <w:b w:val="false"/>
          <w:color w:val="000000"/>
          <w:sz w:val="20"/>
          <w:u w:val="single"/>
        </w:rPr>
        <w:t>Exit Activities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During the fourth quarter of 2025, management committed to and initiated actions to execute a plan to exit certain operations within the land segment, including direct fuel transportation services, lubricants, heating oil, power, and certain advisory and sustainability offerings, that were no longer profitable or not aligned with the Company's core business and corporate strategy. As a result of the actions taken, we recognized charges for exit activities totaling $57.8 million, comprised of severance and compensation costs of $26.2 million, charges associated with various legal matters and contract termination costs of $21.7 million, write-offs of receivables and other assets of $5.1 million, and a loss on the sale of assets of $4.7 million. In addition, we recognized asset impairment charges of $5.8 million related to assets no longer in use or expected to provide nominal future economic benefit.</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Management continued to execute these plans in 2026, and as a result of the actions taken during the first half of 2026, we recognized charges for exit activities totaling $6.1 million, comprised of charges associated with various legal matters and contract termination costs of $10.2 million and severance and compensation costs of $4.1 million, which were partially offset by a net noncash gain on the sale of assets of $8.2 million. In addition, as a result of the actions taken in 2026, we wrote off accounts receivable of $3.0 million.</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See Note 2. Acquisitions and Divestitures and Note 14. Restructuring and Exit Activities for additional information.</w:t>
      </w:r>
    </w:p>
    <w:p>
      <w:pPr>
        <w:pStyle w:val="TextBody"/>
        <w:bidi w:val="0"/>
        <w:spacing w:lineRule="auto" w:line="288" w:before="240" w:after="283"/>
        <w:jc w:val="left"/>
        <w:rPr>
          <w:rFonts w:ascii="Arial;sans-serif" w:hAnsi="Arial;sans-serif"/>
          <w:b w:val="false"/>
          <w:color w:val="000000"/>
          <w:sz w:val="20"/>
          <w:u w:val="single"/>
        </w:rPr>
      </w:pPr>
      <w:r>
        <w:rPr>
          <w:rFonts w:ascii="Arial;sans-serif" w:hAnsi="Arial;sans-serif"/>
          <w:b w:val="false"/>
          <w:color w:val="000000"/>
          <w:sz w:val="20"/>
          <w:u w:val="single"/>
        </w:rPr>
        <w:t>2025 Restructuring Plan</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During the first quarter of 2025, in alignment with ongoing efforts to rationalize our assets and operations, we began the 2025 Restructuring Plan, a company-wide restructuring initiative designed to further streamline our operating model and enhance organizational efficiency and effectiveness. As part of this initiative, we undertook cost management actions in response to the current and projected business needs, including the closure of certain open positions and the elimination of other roles to better align the workforce with our current strategic priorities. These actions are expected to result in approximately $30 million in annualized compensation-related savings. As a component of the 2025 Restructuring Plan, in June 2025, we launched a program intended to optimize our global finance and accounting operations. We expect this initiative to result in some initial cost savings beginning in 2026 and with increased savings in following years. Total cost savings for the five-year period from 2026 through 2030 are expected to be approximately $80 million. During the fourth quarter of 2025, we also announced an executive transition as a component of the 2025 Restructuring Plan.</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As a result of the actions taken under the 2025 Restructuring Plan, we recognized $45.2 million of restructuring charges associated with the 2025 Restructuring Plan during the year ended December 31, 2025, including $32.7 million of severance and other compensation costs and $12.6 million of other transition related costs. During the six months ended June 30, 2026, we recognized $9.5 million of charges associated with the 2025 Restructuring Plan, consisting primarily of costs associated with the global finance and accounting optimization program as well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before="0" w:after="120"/>
        <w:jc w:val="both"/>
        <w:rPr/>
      </w:pPr>
      <w:r>
        <w:rPr/>
      </w:r>
    </w:p>
    <w:p>
      <w:pPr>
        <w:pStyle w:val="TextBody"/>
        <w:bidi w:val="0"/>
        <w:spacing w:before="240" w:after="240"/>
        <w:jc w:val="left"/>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additional severance and other compensation costs. We plan to complete the transition activities associated with the global finance and accounting optimization in the fourth quarter of 2026 and expect to recognize an additional $4.4 million in transition costs and one-time charges associated with the planned global finance and accounting initiatives during the year ending December 31, 2026.</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See Note 14. Restructuring and Exit Activities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Reportable Segments</w:t>
      </w:r>
    </w:p>
    <w:p>
      <w:pPr>
        <w:pStyle w:val="TextBody"/>
        <w:bidi w:val="0"/>
        <w:spacing w:lineRule="auto" w:line="288" w:before="0" w:after="120"/>
        <w:jc w:val="both"/>
        <w:rPr/>
      </w:pPr>
      <w:r>
        <w:rPr>
          <w:rFonts w:ascii="Arial;sans-serif" w:hAnsi="Arial;sans-serif"/>
          <w:b w:val="false"/>
          <w:color w:val="000000"/>
          <w:sz w:val="20"/>
        </w:rPr>
        <w:t>We operate in three reportable segments consisting of aviation, land, and marine.</w:t>
      </w:r>
      <w:r>
        <w:rPr>
          <w:color w:val="000000"/>
          <w:shd w:fill="FFFFFF" w:val="clear"/>
        </w:rPr>
        <w:t xml:space="preserve"> </w:t>
      </w:r>
      <w:r>
        <w:rPr>
          <w:rFonts w:ascii="Arial;sans-serif" w:hAnsi="Arial;sans-serif"/>
          <w:b w:val="false"/>
          <w:color w:val="000000"/>
          <w:sz w:val="20"/>
        </w:rPr>
        <w:t>For additional discussion on our reportable segments, see "Reportable Segments" under Part I, Item 1 – Business in our 2025 10-K Report. Selected financial information with respect to our business segments is provided in Note 12. Business Segments.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val="false"/>
          <w:color w:val="000000"/>
          <w:sz w:val="20"/>
          <w:u w:val="single"/>
        </w:rPr>
      </w:pPr>
      <w:r>
        <w:rPr>
          <w:rFonts w:ascii="Arial;sans-serif" w:hAnsi="Arial;sans-serif"/>
          <w:b w:val="false"/>
          <w:color w:val="000000"/>
          <w:sz w:val="20"/>
          <w:u w:val="single"/>
        </w:rPr>
        <w:t>Aviation Segment</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Our aviation segment has benefited from growth in our fuel and related service offerings, as well as our enhanced logistics capabilities and the geographic expansion of our aviation fueling operations into additional international airport locations. We have successfully achieved higher returns in a high interest rate environment, driven in part by targeted improvements in working capital management consistent with our strategy to rationalize lower-return business activity. In connection with our efforts to accelerate growth in our core businesses, we completed the acquisition of Universal TSS in the fourth quarter of 2025. See Note 2. Acquisitions and Divestitures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val="false"/>
          <w:color w:val="000000"/>
          <w:sz w:val="20"/>
          <w:u w:val="single"/>
        </w:rPr>
      </w:pPr>
      <w:r>
        <w:rPr>
          <w:rFonts w:ascii="Arial;sans-serif" w:hAnsi="Arial;sans-serif"/>
          <w:b w:val="false"/>
          <w:color w:val="000000"/>
          <w:sz w:val="20"/>
          <w:u w:val="single"/>
        </w:rPr>
        <w:t>Land Segment</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In our land segment, we continue to focus on improving capital efficiency by optimizing asset utilization, leveraging the capabilities of our acquisitions, and realigning our operational platform. In 2025, we launched an initiative designed to further streamline our operating model and enhance organizational efficiency and effectiveness. On April 9, 2025, we closed the Watson Fuels sale, and in the fourth quarter of 2025 and into 2026, we committed to and initiated actions to exit certain operations within the land segment, including direct fuel transportation services, lubricants, heating oil, power, and certain advisory and sustainability offerings, that are no longer profitable or not aligned with the Company's core business and corporate strategy. In June 2026, we closed on the sale of a majority of the Land Fuel Transportation and Lubricants disposal group. See Note 2. Acquisitions and Divestitures and Note 14. Restructuring and Exit Activities for additional information about the actions taken and related impairment charges.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val="false"/>
          <w:color w:val="000000"/>
          <w:sz w:val="20"/>
          <w:u w:val="single"/>
        </w:rPr>
      </w:pPr>
      <w:r>
        <w:rPr>
          <w:rFonts w:ascii="Arial;sans-serif" w:hAnsi="Arial;sans-serif"/>
          <w:b w:val="false"/>
          <w:color w:val="000000"/>
          <w:sz w:val="20"/>
          <w:u w:val="single"/>
        </w:rPr>
        <w:t>Marine Segment</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We believe that our marine business is well-positioned to generate relatively moderate levels of earnings in stable markets and provide additional value in volatile and credit constrained markets. Due to the generally spot nature of sales in our marine business, we have traditionally benefited from elevated fuel prices and volatility as well as a constrained credit environment, as seen during the first half of 2026, with the increase in global oil prices and related volatility resulting in a significant improvement in marine segment profitability.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Macroeconomic Environment</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current global environment, including ongoing geopolitical conflicts and changes in U.S. trade policy, may impact commodity prices, international trade, supply availability, and overall demand for global transportation services. Tariffs, route closures, and other trade restrictions can lead to continuing uncertainty and volatility in global financial and commodity markets, declining consumer confidence, lower personal and business travel and consequent demand for our fuel products. The escalation of conflict in the Middle East has created increased geopolitical and economic uncertainty, particularly within global energy markets. These developments have contributed to heightened volatility in fuel and energy prices worldwide. While we are often able to benefit from periods of market volatility, extended volatility could result in reduced demand or supply uncertainties, which could adversely impact our results.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In recent years, inflation in the United States and other jurisdictions in which we do business has increased significantly, driven in part by supply chain disruptions, labor shortages and increased commodity prices, which generally resulted in higher costs. In a rising cost environment, there may be offsetting benefits either inherent in certain parts of our business or that may result from proactive measures we take to reduce the impact of inflation on our net operating results. These benefits can include higher commodity prices that typically result in a constrained credit environment, often creating favorable market conditions that increase demand for our services, as well as our ability to renegotiate prices due to many of our sales contracts being 12 months or less in duration. Additionally, we take measures to mitigate the impact of increases in fuel prices through comprehensive hedging programs and the use of financial derivative contracts.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before="0" w:after="120"/>
        <w:jc w:val="both"/>
        <w:rPr/>
      </w:pPr>
      <w:r>
        <w:rPr/>
      </w:r>
    </w:p>
    <w:p>
      <w:pPr>
        <w:pStyle w:val="TextBody"/>
        <w:bidi w:val="0"/>
        <w:spacing w:before="240" w:after="240"/>
        <w:jc w:val="left"/>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We have seen some impact associated with changes in U.S. policy and trade-related uncertainty. While a February 20, 2026 Supreme Court ruling struck down a sweeping series of tariffs that had been imposed in 2025, substantial uncertainty remains with respect to how the ruling will be interpreted and whether some of such tariffs might be reimposed under different legal authority. A significant or prolonged period of trade uncertainty or high inflation could adversely impact our results. Higher interest rates also typically increase the interest expense associated with our credit arrangements with banks and other parties that serve as important sources of liquidity for us, which can therefore negatively impact our results of operations for a particular period. We will continue to monitor recent developments on trade-related uncertainty and tariff policy and evaluate any changes to the applicability of these policies on our business as they occur.</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See "We extend credit to many of our customers in connection with their purchase of fuel and services from us, and our business, financial condition, results of operations and cash flows will be adversely affected if we are unable to collect accounts receivable," "Changes in the market prices of energy and commodities may have a material adverse effect on our business," "Our business depends on our ability to adequately finance our capital requirements and fund our investments, which, if not available to us, would impact our ability to conduct our operations," "Significant inflation and higher interest rates may adversely affect our business and financial condition," and "Our derivative transactions with customers, suppliers, merchants and financial institutions expose us to price and credit risks, which could have a material adverse effect on our business" in Item 1A. – Risk Factors in our 2025 10-K Report for additional discussion of these risks.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Results of Operations</w:t>
      </w:r>
    </w:p>
    <w:p>
      <w:pPr>
        <w:pStyle w:val="TextBody"/>
        <w:bidi w:val="0"/>
        <w:spacing w:lineRule="auto" w:line="288" w:before="240" w:after="283"/>
        <w:jc w:val="left"/>
        <w:rPr>
          <w:rFonts w:ascii="Arial;sans-serif" w:hAnsi="Arial;sans-serif"/>
          <w:b w:val="false"/>
          <w:color w:val="000000"/>
          <w:sz w:val="20"/>
          <w:u w:val="single"/>
        </w:rPr>
      </w:pPr>
      <w:r>
        <w:rPr>
          <w:rFonts w:ascii="Arial;sans-serif" w:hAnsi="Arial;sans-serif"/>
          <w:b w:val="false"/>
          <w:color w:val="000000"/>
          <w:sz w:val="20"/>
          <w:u w:val="single"/>
        </w:rPr>
        <w:t>Three Months Ended June 30, 2026 Compared to Three Months Ended June 30, 2025</w:t>
      </w:r>
    </w:p>
    <w:p>
      <w:pPr>
        <w:pStyle w:val="TextBody"/>
        <w:bidi w:val="0"/>
        <w:spacing w:lineRule="auto" w:line="288" w:before="120" w:after="283"/>
        <w:jc w:val="left"/>
        <w:rPr>
          <w:rFonts w:ascii="Arial;sans-serif" w:hAnsi="Arial;sans-serif"/>
          <w:b w:val="false"/>
          <w:i/>
          <w:color w:val="000000"/>
          <w:sz w:val="20"/>
        </w:rPr>
      </w:pPr>
      <w:r>
        <w:rPr>
          <w:rFonts w:ascii="Arial;sans-serif" w:hAnsi="Arial;sans-serif"/>
          <w:b w:val="false"/>
          <w:i/>
          <w:color w:val="000000"/>
          <w:sz w:val="20"/>
        </w:rPr>
        <w:t>Consolidated Results of Operations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following provides a summary of our consolidated results of operations for the periods indicated (in millions, except per share amounts):</w:t>
      </w:r>
    </w:p>
    <w:tbl>
      <w:tblPr>
        <w:tblW w:w="8828" w:type="dxa"/>
        <w:jc w:val="left"/>
        <w:tblInd w:w="0" w:type="dxa"/>
        <w:tblLayout w:type="fixed"/>
        <w:tblCellMar>
          <w:top w:w="28" w:type="dxa"/>
          <w:left w:w="28" w:type="dxa"/>
          <w:bottom w:w="28" w:type="dxa"/>
          <w:right w:w="28" w:type="dxa"/>
        </w:tblCellMar>
      </w:tblPr>
      <w:tblGrid>
        <w:gridCol w:w="1760"/>
        <w:gridCol w:w="1546"/>
        <w:gridCol w:w="1553"/>
        <w:gridCol w:w="109"/>
        <w:gridCol w:w="109"/>
        <w:gridCol w:w="109"/>
        <w:gridCol w:w="280"/>
        <w:gridCol w:w="1219"/>
        <w:gridCol w:w="145"/>
        <w:gridCol w:w="145"/>
        <w:gridCol w:w="145"/>
        <w:gridCol w:w="145"/>
        <w:gridCol w:w="280"/>
        <w:gridCol w:w="1079"/>
        <w:gridCol w:w="204"/>
      </w:tblGrid>
      <w:tr>
        <w:trPr/>
        <w:tc>
          <w:tcPr>
            <w:tcW w:w="1760"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 June 30,</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13,591.2 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9,043.3 </w:t>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13,226.0 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8,810.9 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365.1 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232.4 </w:t>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Compensation and employee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105.5 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67.3 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Goodwill and other asset impairments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398.6 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269.1 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577.5 </w:t>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96.1 </w:t>
            </w:r>
          </w:p>
        </w:tc>
        <w:tc>
          <w:tcPr>
            <w:tcW w:w="1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(345.1)</w:t>
            </w:r>
          </w:p>
        </w:tc>
        <w:tc>
          <w:tcPr>
            <w:tcW w:w="20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Non-operating income (expenses),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and other financing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(30.6)</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(25.7)</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(78.0)</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non-operating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w:t>
            </w:r>
          </w:p>
        </w:tc>
        <w:tc>
          <w:tcPr>
            <w:tcW w:w="1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(103.6)</w:t>
            </w:r>
          </w:p>
        </w:tc>
        <w:tc>
          <w:tcPr>
            <w:tcW w:w="20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66.3 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(448.7)</w:t>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(109.6)</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 including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49.8 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(339.1)</w:t>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 attributable to World Kinect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48.4 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(339.4)</w:t>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earnings (loss)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(6.06)</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earnings (loss)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0.94 </w:t>
            </w:r>
          </w:p>
        </w:tc>
        <w:tc>
          <w:tcPr>
            <w:tcW w:w="14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(6.06)</w:t>
            </w:r>
          </w:p>
        </w:tc>
        <w:tc>
          <w:tcPr>
            <w:tcW w:w="20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before="0" w:after="120"/>
        <w:jc w:val="both"/>
        <w:rPr/>
      </w:pPr>
      <w:r>
        <w:rPr/>
      </w:r>
    </w:p>
    <w:p>
      <w:pPr>
        <w:pStyle w:val="TextBody"/>
        <w:bidi w:val="0"/>
        <w:spacing w:before="240" w:after="240"/>
        <w:jc w:val="left"/>
        <w:rPr/>
      </w:pPr>
      <w:r>
        <w:rPr/>
      </w:r>
    </w:p>
    <w:p>
      <w:pPr>
        <w:pStyle w:val="TextBody"/>
        <w:bidi w:val="0"/>
        <w:spacing w:lineRule="auto" w:line="288" w:before="0" w:after="120"/>
        <w:jc w:val="both"/>
        <w:rPr/>
      </w:pPr>
      <w:r>
        <w:rPr>
          <w:rFonts w:ascii="Arial;sans-serif" w:hAnsi="Arial;sans-serif"/>
          <w:b w:val="false"/>
          <w:i/>
          <w:color w:val="000000"/>
          <w:sz w:val="20"/>
        </w:rPr>
        <w:t>Revenue. </w:t>
      </w:r>
      <w:r>
        <w:rPr>
          <w:rFonts w:ascii="Arial;sans-serif" w:hAnsi="Arial;sans-serif"/>
          <w:b w:val="false"/>
          <w:color w:val="000000"/>
          <w:sz w:val="20"/>
        </w:rPr>
        <w:t>Our consolidated revenue for the three months ended June 30, 2026 was $13.6 billion, an increase of $4.5 billion, or 50%, compared to the three months ended June 30, 2025, attributable to increased revenue of $3.2 billion, $0.9 billion, and $0.4 billion in our aviation, marine, and land segments, respectively, as discussed further below.</w:t>
      </w:r>
    </w:p>
    <w:p>
      <w:pPr>
        <w:pStyle w:val="TextBody"/>
        <w:bidi w:val="0"/>
        <w:spacing w:lineRule="auto" w:line="288" w:before="0" w:after="120"/>
        <w:jc w:val="both"/>
        <w:rPr/>
      </w:pPr>
      <w:r>
        <w:rPr>
          <w:rFonts w:ascii="Arial;sans-serif" w:hAnsi="Arial;sans-serif"/>
          <w:b w:val="false"/>
          <w:i/>
          <w:color w:val="000000"/>
          <w:sz w:val="20"/>
        </w:rPr>
        <w:t>Gross Profit. </w:t>
      </w:r>
      <w:r>
        <w:rPr>
          <w:rFonts w:ascii="Arial;sans-serif" w:hAnsi="Arial;sans-serif"/>
          <w:b w:val="false"/>
          <w:color w:val="000000"/>
          <w:sz w:val="20"/>
        </w:rPr>
        <w:t>Our gross profit for the three months ended June 30, 2026 was $365.1 million, an increase of $132.7 million, or 57%, compared to the three months ended June 30, 2025, attributable to increased gross profit of $70.0 million, $52.6 million, and $10.1 million in our aviation, marine, and land segments, respectively, as discussed further below.</w:t>
      </w:r>
    </w:p>
    <w:p>
      <w:pPr>
        <w:pStyle w:val="TextBody"/>
        <w:bidi w:val="0"/>
        <w:spacing w:lineRule="auto" w:line="288" w:before="0" w:after="120"/>
        <w:jc w:val="both"/>
        <w:rPr/>
      </w:pPr>
      <w:r>
        <w:rPr>
          <w:rFonts w:ascii="Arial;sans-serif" w:hAnsi="Arial;sans-serif"/>
          <w:b w:val="false"/>
          <w:i/>
          <w:color w:val="000000"/>
          <w:sz w:val="20"/>
        </w:rPr>
        <w:t xml:space="preserve">Operating Expenses. </w:t>
      </w:r>
      <w:r>
        <w:rPr>
          <w:rFonts w:ascii="Arial;sans-serif" w:hAnsi="Arial;sans-serif"/>
          <w:b w:val="false"/>
          <w:color w:val="000000"/>
          <w:sz w:val="20"/>
        </w:rPr>
        <w:t>Total operating expenses for the three months ended June 30, 2026 were $269.1 million, a decrease of $308.4 million, or 53%, compared to the three months ended June 30, 2025. The decrease in operating expenses was primarily attributable to the $398.6 million of goodwill and other asset impairment charges recognized during the three months ended June 30, 2025, partially offset by increases in bad debt expense incurred during the three months ended June 30, 2026, primarily as a result of the deteriorating financial condition of certain aviation and marine segment customers, including a marine segment customer which filed for creditor protection during the second quarter of 2026 and is currently operating under court supervision, and compensation and employee benefit costs, primarily driven by higher incentive compensation costs in our aviation and marine segments, as well as costs associated with the Universal TSS business acquired in the fourth quarter of 2025.</w:t>
      </w:r>
    </w:p>
    <w:p>
      <w:pPr>
        <w:pStyle w:val="TextBody"/>
        <w:bidi w:val="0"/>
        <w:spacing w:lineRule="auto" w:line="288" w:before="0" w:after="120"/>
        <w:jc w:val="both"/>
        <w:rPr/>
      </w:pPr>
      <w:r>
        <w:rPr>
          <w:rFonts w:ascii="Arial;sans-serif" w:hAnsi="Arial;sans-serif"/>
          <w:b w:val="false"/>
          <w:i/>
          <w:color w:val="000000"/>
          <w:sz w:val="20"/>
        </w:rPr>
        <w:t>Non-Operating Income (Expense), net.</w:t>
      </w:r>
      <w:r>
        <w:rPr>
          <w:color w:val="000000"/>
        </w:rPr>
        <w:t xml:space="preserve"> </w:t>
      </w:r>
      <w:r>
        <w:rPr>
          <w:rFonts w:ascii="Arial;sans-serif" w:hAnsi="Arial;sans-serif"/>
          <w:b w:val="false"/>
          <w:color w:val="000000"/>
          <w:sz w:val="20"/>
        </w:rPr>
        <w:t>For the three months ended June 30, 2026, we had net non-operating expense of $29.8 million compared to net non-operating expense of $103.6 million for the three months ended June 30, 2025. The decrease in non-operating expense of $73.9 million during the three months ended June 30, 2026 was primarily attributable to the $81.7 million loss on the sale of Watson Fuels during the three months ended June 30, 2025, partially offset by increased foreign currency losses and higher interest expense during the three months ended June 30, 2026 compared to the three months ended June 30, 2025.</w:t>
      </w:r>
    </w:p>
    <w:p>
      <w:pPr>
        <w:pStyle w:val="TextBody"/>
        <w:bidi w:val="0"/>
        <w:spacing w:lineRule="auto" w:line="268" w:before="0" w:after="0"/>
        <w:jc w:val="both"/>
        <w:rPr/>
      </w:pPr>
      <w:r>
        <w:rPr>
          <w:rFonts w:ascii="Arial;sans-serif" w:hAnsi="Arial;sans-serif"/>
          <w:b w:val="false"/>
          <w:i/>
          <w:color w:val="000000"/>
          <w:sz w:val="20"/>
        </w:rPr>
        <w:t>Income Taxes.</w:t>
      </w:r>
      <w:r>
        <w:rPr>
          <w:color w:val="000000"/>
        </w:rPr>
        <w:t xml:space="preserve"> </w:t>
      </w:r>
      <w:r>
        <w:rPr>
          <w:rFonts w:ascii="Arial;sans-serif" w:hAnsi="Arial;sans-serif"/>
          <w:b w:val="false"/>
          <w:color w:val="000000"/>
          <w:sz w:val="20"/>
        </w:rPr>
        <w:t>For the three months ended June 30, 2026, we recognized an income tax expense of $16.6 million, compared to income tax benefit of $109.6 million for the three months ended June 30, 2025. The increase of $126.1 million was primarily attributable to asset impairment benefits recognized during the three months ended June 30, 2025 and changes in the mix of our worldwide earnings, as well as a net discrete tax benefit of $1.0 million for the three months ended June 30, 2026 compared to a net discrete tax benefit of $12.3 million for the three months ended June 30, 2025. See Note 11. Income Taxes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Aviation Segment Results of Operations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following provides a summary of our aviation segment results of operations for the periods indicated (in millions, except price per gallon):</w:t>
      </w:r>
    </w:p>
    <w:tbl>
      <w:tblPr>
        <w:tblW w:w="9192" w:type="dxa"/>
        <w:jc w:val="left"/>
        <w:tblInd w:w="0" w:type="dxa"/>
        <w:tblLayout w:type="fixed"/>
        <w:tblCellMar>
          <w:top w:w="28" w:type="dxa"/>
          <w:left w:w="28" w:type="dxa"/>
          <w:bottom w:w="28" w:type="dxa"/>
          <w:right w:w="28" w:type="dxa"/>
        </w:tblCellMar>
      </w:tblPr>
      <w:tblGrid>
        <w:gridCol w:w="1365"/>
        <w:gridCol w:w="1198"/>
        <w:gridCol w:w="1202"/>
        <w:gridCol w:w="109"/>
        <w:gridCol w:w="109"/>
        <w:gridCol w:w="109"/>
        <w:gridCol w:w="293"/>
        <w:gridCol w:w="1128"/>
        <w:gridCol w:w="151"/>
        <w:gridCol w:w="151"/>
        <w:gridCol w:w="151"/>
        <w:gridCol w:w="151"/>
        <w:gridCol w:w="293"/>
        <w:gridCol w:w="1128"/>
        <w:gridCol w:w="151"/>
        <w:gridCol w:w="109"/>
        <w:gridCol w:w="109"/>
        <w:gridCol w:w="109"/>
        <w:gridCol w:w="211"/>
        <w:gridCol w:w="811"/>
        <w:gridCol w:w="154"/>
      </w:tblGrid>
      <w:tr>
        <w:trPr/>
        <w:tc>
          <w:tcPr>
            <w:tcW w:w="1365"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7,959.5 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4,725.1 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3,234.4 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Income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104.8 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71.7 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Operational metrics: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Aviation segment volumes (gallons)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1,759.9 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1,856.0 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Aviation segment average price per gallon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Revenues in our aviation segment were $8.0 billion for the three months ended June 30, 2026, an increase of $3.2 billion, or 68%, compared to the three months ended June 30, 2025. The increase in revenue was driven by higher average prices, partially offset by a decrease in volume. Average jet fuel price per gallon sold increased by 83%. Total aviation volumes decreased by 96.1 million gallons, or 5%, to 1.8 billion gallons, driven primarily by a reduction in lower margin activity.</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Aviation segment gross profit for the three months ended June 30, 2026 was $208.0 million, an increase of $70.0 million, or 51%, compared to the three months ended June 30, 2025. The increase in gross profit was primarily attributable to stronger physical inventory-related profitability in our core commercial business, driven by elevated jet fuel price volatility during the three months ended June 30, 2026, in addition to the contribution from Universal TSS acquired in the fourth quarter of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before="0" w:after="120"/>
        <w:jc w:val="both"/>
        <w:rPr/>
      </w:pPr>
      <w:r>
        <w:rPr/>
      </w:r>
    </w:p>
    <w:p>
      <w:pPr>
        <w:pStyle w:val="TextBody"/>
        <w:bidi w:val="0"/>
        <w:spacing w:before="240" w:after="240"/>
        <w:jc w:val="left"/>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Income from operations in our aviation segment for the three months ended June 30, 2026 was $104.8 million, an increase of $33.2 million, or 46%, compared to the three months ended June 30, 2025, driven by the increase in gross profit discussed above, partially offset by an increase in operating expenses. The increase in operating expenses was primarily attributable to the incremental operating costs associated with the Universal TSS business acquired in the fourth quarter of 2025 as well as higher incentive compensation costs during the three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Land Segment Results of Operations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following provides a summary of our land segment results of operations for the periods indicated (in millions, except price per gallon):</w:t>
      </w:r>
    </w:p>
    <w:tbl>
      <w:tblPr>
        <w:tblW w:w="8741" w:type="dxa"/>
        <w:jc w:val="left"/>
        <w:tblInd w:w="0" w:type="dxa"/>
        <w:tblLayout w:type="fixed"/>
        <w:tblCellMar>
          <w:top w:w="28" w:type="dxa"/>
          <w:left w:w="28" w:type="dxa"/>
          <w:bottom w:w="28" w:type="dxa"/>
          <w:right w:w="28" w:type="dxa"/>
        </w:tblCellMar>
      </w:tblPr>
      <w:tblGrid>
        <w:gridCol w:w="1261"/>
        <w:gridCol w:w="1107"/>
        <w:gridCol w:w="1111"/>
        <w:gridCol w:w="109"/>
        <w:gridCol w:w="109"/>
        <w:gridCol w:w="109"/>
        <w:gridCol w:w="293"/>
        <w:gridCol w:w="1128"/>
        <w:gridCol w:w="151"/>
        <w:gridCol w:w="151"/>
        <w:gridCol w:w="151"/>
        <w:gridCol w:w="151"/>
        <w:gridCol w:w="293"/>
        <w:gridCol w:w="1128"/>
        <w:gridCol w:w="151"/>
        <w:gridCol w:w="109"/>
        <w:gridCol w:w="109"/>
        <w:gridCol w:w="109"/>
        <w:gridCol w:w="211"/>
        <w:gridCol w:w="646"/>
        <w:gridCol w:w="154"/>
      </w:tblGrid>
      <w:tr>
        <w:trPr/>
        <w:tc>
          <w:tcPr>
            <w:tcW w:w="1261"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2,867.9 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2,425.0 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442.9 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434.3 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Income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(366.9)</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373.2 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Operational metrics: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Land segment volumes (gallons)</w:t>
            </w:r>
            <w:r>
              <w:rPr>
                <w:color w:val="000000"/>
              </w:rPr>
              <w:t xml:space="preserve"> </w:t>
            </w:r>
            <w:r>
              <w:rPr>
                <w:rFonts w:ascii="Arial;sans-serif" w:hAnsi="Arial;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1,228.2 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1,343.3 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Land segment average price per gallon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pPr>
      <w:r>
        <w:rPr>
          <w:rFonts w:ascii="Arial;sans-serif" w:hAnsi="Arial;sans-serif"/>
          <w:b w:val="false"/>
          <w:color w:val="000000"/>
          <w:sz w:val="13"/>
        </w:rPr>
        <w:t>(1)</w:t>
      </w:r>
      <w:r>
        <w:rPr>
          <w:rFonts w:ascii="Arial;sans-serif" w:hAnsi="Arial;sans-serif"/>
          <w:b w:val="false"/>
          <w:color w:val="000000"/>
          <w:sz w:val="20"/>
        </w:rPr>
        <w:t>Includes gallons and gallon equivalents of British Thermal Units (BTU) for our natural gas sales and Kilowatt Hours (kWh) for our power business.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Revenues in our land segment were $2.9 billion for the three months ended June 30, 2026, an increase of $442.9 million, or 18%, compared to the three months ended June 30, 2025. The increase in revenue was principally driven by higher average prices, partially offset by a decrease in volume. Average fuel prices increased by 13%. Total volumes decreased by 115.1 million, or 9%, to 1.2 billion gallons or gallon equivalents, primarily attributable to decreased volumes in our European power business, which is considered non-core and in the process of being exited, as well as the Land Fuel Transportation and Lubricants business sold during the second quarter of 2026.</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Land segment gross profit for the three months ended June 30, 2026 was $77.5 million, an increase of $10.1 million, or 15%, compared to the three months ended June 30, 2025. The increase in gross profit was principally driven by an increased contribution from our government business as well as higher contributions from our cardlock network and retail operations in North America.</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Income from operations in our land segment for the three months ended June 30, 2026 was $6.3 million, an increase of $373.2 million, or 102%, compared to the three months ended June 30, 2025, driven by a decrease in operating expenses as well as the increase in gross profit discussed above. The decrease in operating expenses was primarily attributable to lower asset impairment charges compared to the three months ended June 30, 2025, partially offset by restructuring and exit activity charges during the three months ended June 30, 2026 resulting from the business exits initiated during the fourth quarter of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before="0" w:after="120"/>
        <w:jc w:val="both"/>
        <w:rPr/>
      </w:pPr>
      <w:r>
        <w:rPr/>
      </w:r>
    </w:p>
    <w:p>
      <w:pPr>
        <w:pStyle w:val="TextBody"/>
        <w:bidi w:val="0"/>
        <w:spacing w:before="240" w:after="240"/>
        <w:jc w:val="left"/>
        <w:rPr/>
      </w:pPr>
      <w:r>
        <w:rPr/>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Marine Segment Results of Operations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following provides a summary of our marine segment results of operations for the periods indicated (in millions, except price per metric ton):</w:t>
      </w:r>
    </w:p>
    <w:tbl>
      <w:tblPr>
        <w:tblW w:w="9372" w:type="dxa"/>
        <w:jc w:val="left"/>
        <w:tblInd w:w="0" w:type="dxa"/>
        <w:tblLayout w:type="fixed"/>
        <w:tblCellMar>
          <w:top w:w="28" w:type="dxa"/>
          <w:left w:w="28" w:type="dxa"/>
          <w:bottom w:w="28" w:type="dxa"/>
          <w:right w:w="28" w:type="dxa"/>
        </w:tblCellMar>
      </w:tblPr>
      <w:tblGrid>
        <w:gridCol w:w="1452"/>
        <w:gridCol w:w="1274"/>
        <w:gridCol w:w="1279"/>
        <w:gridCol w:w="109"/>
        <w:gridCol w:w="109"/>
        <w:gridCol w:w="109"/>
        <w:gridCol w:w="293"/>
        <w:gridCol w:w="1128"/>
        <w:gridCol w:w="151"/>
        <w:gridCol w:w="151"/>
        <w:gridCol w:w="151"/>
        <w:gridCol w:w="151"/>
        <w:gridCol w:w="293"/>
        <w:gridCol w:w="1128"/>
        <w:gridCol w:w="151"/>
        <w:gridCol w:w="109"/>
        <w:gridCol w:w="109"/>
        <w:gridCol w:w="109"/>
        <w:gridCol w:w="211"/>
        <w:gridCol w:w="751"/>
        <w:gridCol w:w="154"/>
      </w:tblGrid>
      <w:tr>
        <w:trPr/>
        <w:tc>
          <w:tcPr>
            <w:tcW w:w="1452"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2,763.8 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1,893.2 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870.6 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Income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Operational metrics: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Marine segment volumes (metric tons)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Marine segment average price per metric ton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797.88 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489.68 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Revenues in our marine segment were $2.8 billion for the three months ended June 30, 2026, an increase of $870.6 million, or 46%, compared to the three months ended June 30, 2025. The increase in revenue was driven by higher average fuel prices, partially offset by a decrease in volume. The average price per metric ton of bunker fuel sold increased by 63%. Total volumes decreased by 0.4 million metric tons, or 10%, to 3.5 million, driven by reduced demand driven by the conflict in the Middle East and a reduction in lower margin activity.</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Marine segment gross profit for the three months ended June 30, 2026 was $79.7 million, an increase of $52.6 million, or 195%, primarily driven by a higher profit contribution from our core resale business and certain physical locations, which benefited from increased bunker fuel prices and elevated market volatility.</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Income from operations in our marine segment for the three months ended June 30, 2026 was $22.2 million, an increase of $47.8 million, or 187%, compared to the three months ended June 30, 2025, driven by the increase in gross profit discussed above, partially offset by an increase in operating expenses attributable to credit losses incurred during the three months ended June 30, 2026, primarily driven by the deteriorating financial condition of a customer which filed for creditor protection during the second quarter of 2026 and is currently operating under court supervision, as well as higher incentive compensation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before="0" w:after="120"/>
        <w:jc w:val="both"/>
        <w:rPr/>
      </w:pPr>
      <w:r>
        <w:rPr/>
      </w:r>
    </w:p>
    <w:p>
      <w:pPr>
        <w:pStyle w:val="TextBody"/>
        <w:bidi w:val="0"/>
        <w:spacing w:before="240" w:after="240"/>
        <w:jc w:val="left"/>
        <w:rPr/>
      </w:pPr>
      <w:r>
        <w:rPr/>
      </w:r>
    </w:p>
    <w:p>
      <w:pPr>
        <w:pStyle w:val="TextBody"/>
        <w:bidi w:val="0"/>
        <w:spacing w:lineRule="auto" w:line="288" w:before="240" w:after="283"/>
        <w:jc w:val="left"/>
        <w:rPr>
          <w:rFonts w:ascii="Arial;sans-serif" w:hAnsi="Arial;sans-serif"/>
          <w:b w:val="false"/>
          <w:color w:val="000000"/>
          <w:sz w:val="20"/>
          <w:u w:val="single"/>
        </w:rPr>
      </w:pPr>
      <w:r>
        <w:rPr>
          <w:rFonts w:ascii="Arial;sans-serif" w:hAnsi="Arial;sans-serif"/>
          <w:b w:val="false"/>
          <w:color w:val="000000"/>
          <w:sz w:val="20"/>
          <w:u w:val="single"/>
        </w:rPr>
        <w:t>Six Months Ended June 30, 2026 Compared to Six Months Ended June 30, 2025</w:t>
      </w:r>
    </w:p>
    <w:p>
      <w:pPr>
        <w:pStyle w:val="TextBody"/>
        <w:bidi w:val="0"/>
        <w:spacing w:lineRule="auto" w:line="288" w:before="120" w:after="283"/>
        <w:jc w:val="left"/>
        <w:rPr>
          <w:rFonts w:ascii="Arial;sans-serif" w:hAnsi="Arial;sans-serif"/>
          <w:b w:val="false"/>
          <w:i/>
          <w:color w:val="000000"/>
          <w:sz w:val="20"/>
        </w:rPr>
      </w:pPr>
      <w:r>
        <w:rPr>
          <w:rFonts w:ascii="Arial;sans-serif" w:hAnsi="Arial;sans-serif"/>
          <w:b w:val="false"/>
          <w:i/>
          <w:color w:val="000000"/>
          <w:sz w:val="20"/>
        </w:rPr>
        <w:t>Consolidated Results of Operations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The following provides a summary of our consolidated results of operations for the periods indicated (in millions, except per share amounts):</w:t>
      </w:r>
    </w:p>
    <w:tbl>
      <w:tblPr>
        <w:tblW w:w="8603" w:type="dxa"/>
        <w:jc w:val="left"/>
        <w:tblInd w:w="0" w:type="dxa"/>
        <w:tblLayout w:type="fixed"/>
        <w:tblCellMar>
          <w:top w:w="28" w:type="dxa"/>
          <w:left w:w="28" w:type="dxa"/>
          <w:bottom w:w="28" w:type="dxa"/>
          <w:right w:w="28" w:type="dxa"/>
        </w:tblCellMar>
      </w:tblPr>
      <w:tblGrid>
        <w:gridCol w:w="1760"/>
        <w:gridCol w:w="1546"/>
        <w:gridCol w:w="1553"/>
        <w:gridCol w:w="109"/>
        <w:gridCol w:w="109"/>
        <w:gridCol w:w="109"/>
        <w:gridCol w:w="253"/>
        <w:gridCol w:w="1101"/>
        <w:gridCol w:w="131"/>
        <w:gridCol w:w="131"/>
        <w:gridCol w:w="131"/>
        <w:gridCol w:w="131"/>
        <w:gridCol w:w="253"/>
        <w:gridCol w:w="1101"/>
        <w:gridCol w:w="185"/>
      </w:tblGrid>
      <w:tr>
        <w:trPr/>
        <w:tc>
          <w:tcPr>
            <w:tcW w:w="1760"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Six Months Ended June 30,</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23,276.2 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18,495.8 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22,639.8 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18,033.0 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636.3 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462.8 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Compensation and employee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Goodwill and other asset impairments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443.1 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484.0 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814.5 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Income (loss)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152.4 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(351.6)</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Non-operating income (expenses),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and other financing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(56.9)</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(48.5)</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(76.6)</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non-operating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(53.8)</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(125.1)</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98.5 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(476.8)</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(116.4)</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 including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75.3 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(360.4)</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 attributable to World Kinect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74.6 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(360.4)</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earnings (loss)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(6.38)</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earnings (loss)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1.44 </w:t>
            </w:r>
          </w:p>
        </w:tc>
        <w:tc>
          <w:tcPr>
            <w:tcW w:w="13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(6.38)</w:t>
            </w:r>
          </w:p>
        </w:tc>
        <w:tc>
          <w:tcPr>
            <w:tcW w:w="18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pPr>
      <w:r>
        <w:rPr>
          <w:rFonts w:ascii="Arial;sans-serif" w:hAnsi="Arial;sans-serif"/>
          <w:b w:val="false"/>
          <w:i/>
          <w:color w:val="000000"/>
          <w:sz w:val="20"/>
        </w:rPr>
        <w:t>Revenue. </w:t>
      </w:r>
      <w:r>
        <w:rPr>
          <w:rFonts w:ascii="Arial;sans-serif" w:hAnsi="Arial;sans-serif"/>
          <w:b w:val="false"/>
          <w:color w:val="000000"/>
          <w:sz w:val="20"/>
        </w:rPr>
        <w:t>Our consolidated revenue for the six months ended June 30, 2026 was $23.3 billion, an increase of $4.8 billion, or 26%, compared to the six months ended June 30, 2025, attributable to increased revenue of $3.6 billion, $1.0 billion, and $0.2 billion in our aviation, marine, and land segments, respectively, as discussed further below.</w:t>
      </w:r>
    </w:p>
    <w:p>
      <w:pPr>
        <w:pStyle w:val="TextBody"/>
        <w:bidi w:val="0"/>
        <w:spacing w:lineRule="auto" w:line="288" w:before="120" w:after="120"/>
        <w:jc w:val="both"/>
        <w:rPr/>
      </w:pPr>
      <w:r>
        <w:rPr>
          <w:rFonts w:ascii="Arial;sans-serif" w:hAnsi="Arial;sans-serif"/>
          <w:b w:val="false"/>
          <w:i/>
          <w:color w:val="000000"/>
          <w:sz w:val="20"/>
        </w:rPr>
        <w:t>Gross Profit. </w:t>
      </w:r>
      <w:r>
        <w:rPr>
          <w:rFonts w:ascii="Arial;sans-serif" w:hAnsi="Arial;sans-serif"/>
          <w:b w:val="false"/>
          <w:color w:val="000000"/>
          <w:sz w:val="20"/>
        </w:rPr>
        <w:t>Our gross profit for the six months ended June 30, 2026 was $636.3 million, an increase of $173.5 million, or 37%, compared to the six months ended June 30, 2025, attributable to increased gross profit of $92.6 million and $83.3 million in our aviation and marine segments, respectively, partially offset by decreased gross profit of $2.4 million in our land segment, as discussed further below.</w:t>
      </w:r>
    </w:p>
    <w:p>
      <w:pPr>
        <w:pStyle w:val="TextBody"/>
        <w:bidi w:val="0"/>
        <w:spacing w:lineRule="auto" w:line="288" w:before="120" w:after="120"/>
        <w:jc w:val="both"/>
        <w:rPr/>
      </w:pPr>
      <w:r>
        <w:rPr>
          <w:rFonts w:ascii="Arial;sans-serif" w:hAnsi="Arial;sans-serif"/>
          <w:b w:val="false"/>
          <w:i/>
          <w:color w:val="000000"/>
          <w:sz w:val="20"/>
        </w:rPr>
        <w:t>Operating Expenses.</w:t>
      </w:r>
      <w:r>
        <w:rPr>
          <w:color w:val="000000"/>
        </w:rPr>
        <w:t xml:space="preserve"> </w:t>
      </w:r>
      <w:r>
        <w:rPr>
          <w:rFonts w:ascii="Arial;sans-serif" w:hAnsi="Arial;sans-serif"/>
          <w:b w:val="false"/>
          <w:color w:val="000000"/>
          <w:sz w:val="20"/>
        </w:rPr>
        <w:t>Total operating expenses for the six months ended June 30, 2026 were $484.0 million, a decrease of $330.5 million, or 41%, compared to the six months ended June 30, 2025. The decrease in operating expenses was primarily attributable to the $443.1 million of goodwill and other asset impairment charges recognized during the six months ended June 30, 2025 as well as the impact of the Watson Fuels sale, partially offset by an increases in bad debt expense incurred during the six months ended June 30, 2026, primarily as a result of the deteriorating financial condition of certain aviation and marine segment customers, including a marine segment customer which filed for creditor protection during the second quarter of 2026 and is currently operating under court supervision, and compensation and employee benefit costs, primarily driven by higher incentive compensation costs in our aviation and marine segments, as well as costs associated with the Universal TSS business acquired in the fourth quarter of 2025.</w:t>
      </w:r>
    </w:p>
    <w:p>
      <w:pPr>
        <w:pStyle w:val="TextBody"/>
        <w:bidi w:val="0"/>
        <w:spacing w:lineRule="auto" w:line="288" w:before="0" w:after="120"/>
        <w:jc w:val="both"/>
        <w:rPr/>
      </w:pPr>
      <w:r>
        <w:rPr>
          <w:rFonts w:ascii="Arial;sans-serif" w:hAnsi="Arial;sans-serif"/>
          <w:b w:val="false"/>
          <w:i/>
          <w:color w:val="000000"/>
          <w:sz w:val="20"/>
        </w:rPr>
        <w:t>Non-Operating Income (Expense), net.</w:t>
      </w:r>
      <w:r>
        <w:rPr>
          <w:color w:val="000000"/>
        </w:rPr>
        <w:t xml:space="preserve"> </w:t>
      </w:r>
      <w:r>
        <w:rPr>
          <w:rFonts w:ascii="Arial;sans-serif" w:hAnsi="Arial;sans-serif"/>
          <w:b w:val="false"/>
          <w:color w:val="000000"/>
          <w:sz w:val="20"/>
        </w:rPr>
        <w:t>For the six months ended June 30, 2026, we had net non-operating expense of $53.8 million compared to net non-operating expense of $125.1 million for the six months ended June 30, 2025. The decrease in non-operating expense of $71.3 million during the six months ended June 30, 2026 was primarily attributable to the $81.7 million loss on the sale of Watson Fuels during the six months ended June 30, 2025, partially offset by increased foreign currency losses and higher interest expense during the six months ended June 30, 2026 compared to the six months ended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before="0" w:after="120"/>
        <w:jc w:val="both"/>
        <w:rPr/>
      </w:pPr>
      <w:r>
        <w:rPr/>
      </w:r>
    </w:p>
    <w:p>
      <w:pPr>
        <w:pStyle w:val="TextBody"/>
        <w:bidi w:val="0"/>
        <w:spacing w:before="240" w:after="240"/>
        <w:jc w:val="left"/>
        <w:rPr/>
      </w:pPr>
      <w:r>
        <w:rPr/>
      </w:r>
    </w:p>
    <w:p>
      <w:pPr>
        <w:pStyle w:val="TextBody"/>
        <w:bidi w:val="0"/>
        <w:spacing w:lineRule="auto" w:line="288" w:before="0" w:after="120"/>
        <w:jc w:val="both"/>
        <w:rPr/>
      </w:pPr>
      <w:r>
        <w:rPr>
          <w:rFonts w:ascii="Arial;sans-serif" w:hAnsi="Arial;sans-serif"/>
          <w:b w:val="false"/>
          <w:i/>
          <w:color w:val="000000"/>
          <w:sz w:val="20"/>
        </w:rPr>
        <w:t xml:space="preserve">Income Taxes. </w:t>
      </w:r>
      <w:r>
        <w:rPr>
          <w:rFonts w:ascii="Arial;sans-serif" w:hAnsi="Arial;sans-serif"/>
          <w:b w:val="false"/>
          <w:color w:val="000000"/>
          <w:sz w:val="20"/>
        </w:rPr>
        <w:t>For the six months ended June 30, 2026, we recognized income tax expense of $23.2 million, compared to income tax benefit of $116.4 million for the six months ended June 30, 2025. The increase of $139.6 million was primarily attributable to asset impairment benefits recognized during the six months ended June 30, 2025 and changes in the mix of our worldwide earnings, in addition to a net discrete tax benefit of $3.1 million as compared to a net discrete tax benefit of $11.7 million for the six months ended June 30, 2025. See Note 11. Income Taxes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Aviation Segment Results of Operations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following provides a summary of our aviation segment results of operations for the periods indicated (in millions, except price per gallon):</w:t>
      </w:r>
    </w:p>
    <w:tbl>
      <w:tblPr>
        <w:tblW w:w="8966" w:type="dxa"/>
        <w:jc w:val="left"/>
        <w:tblInd w:w="0" w:type="dxa"/>
        <w:tblLayout w:type="fixed"/>
        <w:tblCellMar>
          <w:top w:w="28" w:type="dxa"/>
          <w:left w:w="28" w:type="dxa"/>
          <w:bottom w:w="28" w:type="dxa"/>
          <w:right w:w="28" w:type="dxa"/>
        </w:tblCellMar>
      </w:tblPr>
      <w:tblGrid>
        <w:gridCol w:w="1365"/>
        <w:gridCol w:w="1198"/>
        <w:gridCol w:w="1202"/>
        <w:gridCol w:w="109"/>
        <w:gridCol w:w="109"/>
        <w:gridCol w:w="109"/>
        <w:gridCol w:w="264"/>
        <w:gridCol w:w="1147"/>
        <w:gridCol w:w="136"/>
        <w:gridCol w:w="136"/>
        <w:gridCol w:w="136"/>
        <w:gridCol w:w="136"/>
        <w:gridCol w:w="264"/>
        <w:gridCol w:w="1016"/>
        <w:gridCol w:w="136"/>
        <w:gridCol w:w="109"/>
        <w:gridCol w:w="109"/>
        <w:gridCol w:w="109"/>
        <w:gridCol w:w="211"/>
        <w:gridCol w:w="811"/>
        <w:gridCol w:w="154"/>
      </w:tblGrid>
      <w:tr>
        <w:trPr/>
        <w:tc>
          <w:tcPr>
            <w:tcW w:w="1365"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13,004.6 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9,379.3 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3,625.3 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346.2 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Income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162.5 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127.8 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Operational metrics: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Aviation segment volumes (gallons)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3,382.8 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3,556.2 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Aviation segment average price per gallon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Revenues in our aviation segment were $13.0 billion for the six months ended June 30, 2026, an increase of $3.6 billion, or 39%, compared to the six months ended June 30, 2025. The increase in revenue was driven by higher average prices, partially offset by a decrease in volume. Average jet fuel price per gallon sold increased by 48%. Total aviation volumes decreased by 173.4 million gallons, or 5%, to 3.4 billion gallons, driven primarily by a reduction in lower margin activity.</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Our aviation segment gross profit for the six months ended June 30, 2026 was $346.2 million, an increase of $92.6 million, or 37%, compared to the six months ended June 30, 2025. The increase in gross profit was primarily attributable to stronger physical inventory-related profitability in our core commercial business, driven by elevated jet fuel price volatility during the six months ended June 30, 2026 and the contribution from Universal TSS acquired in the fourth quarter of 2025, as well as higher contribution from increased government activity in the core resale business.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Income from operations in our aviation segment for the six months ended June 30, 2026 was $162.5 million, an increase of $34.6 million, or 27%, compared to the six months ended June 30, 2025, driven by the increase in gross profit discussed above, partially offset by an increase in operating expenses. The increase in operating expenses was primarily attributable to increased costs associated with the Universal TSS acquisition during the fourth quarter of 2025 and higher incentive compensation costs, as well as a higher allowance for credit losses as a result of increased accounts receivable exposure driven by elevated jet fuel prices during the first half of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before="0" w:after="120"/>
        <w:jc w:val="both"/>
        <w:rPr/>
      </w:pPr>
      <w:r>
        <w:rPr/>
      </w:r>
    </w:p>
    <w:p>
      <w:pPr>
        <w:pStyle w:val="TextBody"/>
        <w:bidi w:val="0"/>
        <w:spacing w:before="240" w:after="240"/>
        <w:jc w:val="left"/>
        <w:rPr/>
      </w:pPr>
      <w:r>
        <w:rPr/>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Land Segment Results of Operations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following provides a summary of our land segment results of operations for the periods indicated (in millions, except price per gallon):</w:t>
      </w:r>
    </w:p>
    <w:tbl>
      <w:tblPr>
        <w:tblW w:w="8518" w:type="dxa"/>
        <w:jc w:val="left"/>
        <w:tblInd w:w="0" w:type="dxa"/>
        <w:tblLayout w:type="fixed"/>
        <w:tblCellMar>
          <w:top w:w="28" w:type="dxa"/>
          <w:left w:w="28" w:type="dxa"/>
          <w:bottom w:w="28" w:type="dxa"/>
          <w:right w:w="28" w:type="dxa"/>
        </w:tblCellMar>
      </w:tblPr>
      <w:tblGrid>
        <w:gridCol w:w="1261"/>
        <w:gridCol w:w="1107"/>
        <w:gridCol w:w="1111"/>
        <w:gridCol w:w="109"/>
        <w:gridCol w:w="109"/>
        <w:gridCol w:w="109"/>
        <w:gridCol w:w="275"/>
        <w:gridCol w:w="1057"/>
        <w:gridCol w:w="142"/>
        <w:gridCol w:w="142"/>
        <w:gridCol w:w="142"/>
        <w:gridCol w:w="142"/>
        <w:gridCol w:w="275"/>
        <w:gridCol w:w="1057"/>
        <w:gridCol w:w="142"/>
        <w:gridCol w:w="109"/>
        <w:gridCol w:w="109"/>
        <w:gridCol w:w="109"/>
        <w:gridCol w:w="211"/>
        <w:gridCol w:w="646"/>
        <w:gridCol w:w="154"/>
      </w:tblGrid>
      <w:tr>
        <w:trPr/>
        <w:tc>
          <w:tcPr>
            <w:tcW w:w="1261"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5,443.8 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5,290.3 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558.6 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Income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(412.2)</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420.8 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Operational metrics: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Land segment volumes (gallons) </w:t>
            </w:r>
            <w:r>
              <w:rPr>
                <w:rFonts w:ascii="Arial;sans-serif" w:hAnsi="Arial;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2,585.4 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2,837.6 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Land segment average price per gallon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pPr>
      <w:r>
        <w:rPr>
          <w:rFonts w:ascii="Arial;sans-serif" w:hAnsi="Arial;sans-serif"/>
          <w:b w:val="false"/>
          <w:color w:val="000000"/>
          <w:sz w:val="13"/>
        </w:rPr>
        <w:t>(1)</w:t>
      </w:r>
      <w:r>
        <w:rPr>
          <w:rFonts w:ascii="Arial;sans-serif" w:hAnsi="Arial;sans-serif"/>
          <w:b w:val="false"/>
          <w:color w:val="000000"/>
          <w:sz w:val="20"/>
        </w:rPr>
        <w:t>Includes gallons and gallon equivalents of British Thermal Units (BTU) for our natural gas sales and Kilowatt Hours (kWh) for our power business.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Revenues in our land segment were $5.4 billion for the six months ended June 30, 2026, an increase of $0.2 billion, or 3%, compared to the six months ended June 30, 2025. The increase in revenue was driven by higher average fuel prices, partially offset by a decrease in volumes. Average fuel prices increased by 13%. Total volumes decreased by 252.2 million, or 9%, to 2.6 billion gallons or gallon equivalents, primarily attributable to the sale of Watson Fuels, as well as decreased volumes in our European power business, which is considered non-core and in the process of being exited, and the sale of our Land Fuel Transportation and Lubricants business in the second quarter of 2026.</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Our land segment gross profit for the six months ended June 30, 2026 was $144.1 million, a decrease of $2.4 million, or 2%, compared to the six months ended June 30, 2025. The decrease in gross profit was principally due to the Watson Fuels sale and unfavorable market conditions in our natural gas business, partially offset by an increased contribution from our government business as well as higher contributions from our cardlock network and retail operations in North America.</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Income from operations in our land segment for the six months ended June 30, 2026 was $8.6 million compared to a loss from operations of $412.2 million for the six months ended June 30, 2025, driven by a decrease in operating expenses, partially offset by the decrease in gross profit discussed above. The decrease in operating expenses was primarily attributable to lower asset impairment charges compared to the six months ended June 30, 2025, as well as the impact of the Watson Fuels sale and the cost reduction impact of the business exits initiated in the fourth quarter of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Marine Segment Results of Operations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following provides a summary of our marine segment results of operations for the periods indicated (in millions, except price per metric ton):</w:t>
      </w:r>
    </w:p>
    <w:tbl>
      <w:tblPr>
        <w:tblW w:w="9209" w:type="dxa"/>
        <w:jc w:val="left"/>
        <w:tblInd w:w="0" w:type="dxa"/>
        <w:tblLayout w:type="fixed"/>
        <w:tblCellMar>
          <w:top w:w="28" w:type="dxa"/>
          <w:left w:w="28" w:type="dxa"/>
          <w:bottom w:w="28" w:type="dxa"/>
          <w:right w:w="28" w:type="dxa"/>
        </w:tblCellMar>
      </w:tblPr>
      <w:tblGrid>
        <w:gridCol w:w="1452"/>
        <w:gridCol w:w="1274"/>
        <w:gridCol w:w="1279"/>
        <w:gridCol w:w="109"/>
        <w:gridCol w:w="109"/>
        <w:gridCol w:w="109"/>
        <w:gridCol w:w="275"/>
        <w:gridCol w:w="1057"/>
        <w:gridCol w:w="142"/>
        <w:gridCol w:w="142"/>
        <w:gridCol w:w="142"/>
        <w:gridCol w:w="142"/>
        <w:gridCol w:w="275"/>
        <w:gridCol w:w="1057"/>
        <w:gridCol w:w="142"/>
        <w:gridCol w:w="109"/>
        <w:gridCol w:w="109"/>
        <w:gridCol w:w="109"/>
        <w:gridCol w:w="211"/>
        <w:gridCol w:w="811"/>
        <w:gridCol w:w="154"/>
      </w:tblGrid>
      <w:tr>
        <w:trPr/>
        <w:tc>
          <w:tcPr>
            <w:tcW w:w="1452"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4,827.7 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3,826.1 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1,001.6 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Income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55.2 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Operational metrics: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Marine segment volumes (metric tons)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Marine segment average price per metric ton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658.21 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504.30 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before="0" w:after="120"/>
        <w:jc w:val="both"/>
        <w:rPr/>
      </w:pPr>
      <w:r>
        <w:rPr/>
      </w:r>
    </w:p>
    <w:p>
      <w:pPr>
        <w:pStyle w:val="TextBody"/>
        <w:bidi w:val="0"/>
        <w:spacing w:before="240" w:after="240"/>
        <w:jc w:val="left"/>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Revenues in our marine segment were $4.8 billion for the six months ended June 30, 2026, an increase of $1.0 billion, or 26%, compared to the six months ended June 30, 2025. The increase in revenue was driven by higher average prices, partially offset by a decrease in volume. The average price per metric ton of bunker fuel sold increased by 31%. Total volumes decreased by 0.3 million metric tons, or 3%, to 7.3 million.</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Our marine segment gross profit for the six months ended June 30, 2026 was $146.0 million, an increase of $83.3 million, or 133%, primarily driven by a higher profit contribution from our core resale business and certain physical locations, which benefited from increased bunker fuel prices and elevated market volatility.</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Income from operations in our marine segment for the six months ended June 30, 2026 was $55.2 million compared to a loss from operations of $10.8 million for the six months ended June 30, 2025, attributable to the increase in gross profit discussed above, partially offset by an increase in operating expenses due to credit losses incurred during the six months ended June 30, 2026, primarily driven by the deteriorating financial condition of a customer which filed for creditor protection during the second quarter of 2026 and is currently operating under court supervision, as well as higher incentive compensation costs. These increases were partially offset by lower asset impairment charges during the six months ended June 30, 2026 as a result of the Falmouth impairment recognized during the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Liquidity and Capital Resources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Liquidity to fund working capital, as well as make strategic investments, is a significant priority for us. Our views concerning liquidity are based on currently available information and if circumstances change significantly, the future availability of trade credit or other sources of financing may be reduced, and our liquidity would be adversely affected accordingly.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val="false"/>
          <w:color w:val="000000"/>
          <w:sz w:val="20"/>
          <w:u w:val="single"/>
        </w:rPr>
      </w:pPr>
      <w:r>
        <w:rPr>
          <w:rFonts w:ascii="Arial;sans-serif" w:hAnsi="Arial;sans-serif"/>
          <w:b w:val="false"/>
          <w:color w:val="000000"/>
          <w:sz w:val="20"/>
          <w:u w:val="single"/>
        </w:rPr>
        <w:t>Sources of Liquidity and Factors Impacting Our Liquidity</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Our liquidity, consisting principally of cash and availability under our Credit Facility, as described below, fluctuates based on a number of factors, including the timing of receipts from our customers and payments to our suppliers, changes in fuel prices, as well as our financial performance.</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Based on the information currently available, we believe that our cash and cash equivalents as of June 30, 2026 and available funds from our Credit Facility, together with cash flows generated by operations, are sufficient to fund our working capital and capital expenditure requirements for at least the next twelve months after the financial statements are issued and the foreseeable future thereafter.</w:t>
      </w:r>
    </w:p>
    <w:p>
      <w:pPr>
        <w:pStyle w:val="TextBody"/>
        <w:bidi w:val="0"/>
        <w:spacing w:lineRule="auto" w:line="288" w:before="0" w:after="120"/>
        <w:jc w:val="both"/>
        <w:rPr/>
      </w:pPr>
      <w:r>
        <w:rPr>
          <w:rFonts w:ascii="Arial;sans-serif" w:hAnsi="Arial;sans-serif"/>
          <w:b w:val="false"/>
          <w:i/>
          <w:color w:val="000000"/>
          <w:sz w:val="20"/>
        </w:rPr>
        <w:t>Convertible Notes.</w:t>
      </w:r>
      <w:r>
        <w:rPr>
          <w:color w:val="000000"/>
        </w:rPr>
        <w:t xml:space="preserve"> </w:t>
      </w:r>
      <w:r>
        <w:rPr>
          <w:rFonts w:ascii="Arial;sans-serif" w:hAnsi="Arial;sans-serif"/>
          <w:b w:val="false"/>
          <w:color w:val="000000"/>
          <w:sz w:val="20"/>
        </w:rPr>
        <w:t>As of June 30, 2026, we have outstanding $350.0 million aggregate principal amount of Convertible Notes which mature on July 1, 2028, unless earlier converted, redeemed or repurchased. The Convertible Notes are senior, unsecured obligations that bear interest at a rate of 3.250% per year, payable semiannually in arrears on January 1 and July 1 of each year. Upon conversion, the Convertible Notes will be settled in cash up to the aggregate principal amount of the Convertible Notes to be converted, and in cash, shares of common stock or any combination thereof, at our option, in respect of the remainder, if any, of our conversion obligation in excess of the aggregate principal amount. See Note 7. Debt, Interest Income, Expense, and Other Finance Costs for additional information.</w:t>
      </w:r>
    </w:p>
    <w:p>
      <w:pPr>
        <w:pStyle w:val="TextBody"/>
        <w:bidi w:val="0"/>
        <w:spacing w:lineRule="auto" w:line="288" w:before="0" w:after="120"/>
        <w:jc w:val="both"/>
        <w:rPr/>
      </w:pPr>
      <w:r>
        <w:rPr>
          <w:rFonts w:ascii="Arial;sans-serif" w:hAnsi="Arial;sans-serif"/>
          <w:b w:val="false"/>
          <w:i/>
          <w:color w:val="000000"/>
          <w:sz w:val="20"/>
        </w:rPr>
        <w:t>Credit Agreement.</w:t>
      </w:r>
      <w:r>
        <w:rPr>
          <w:color w:val="000000"/>
        </w:rPr>
        <w:t xml:space="preserve"> </w:t>
      </w:r>
      <w:r>
        <w:rPr>
          <w:rFonts w:ascii="Arial;sans-serif" w:hAnsi="Arial;sans-serif"/>
          <w:b w:val="false"/>
          <w:color w:val="000000"/>
          <w:sz w:val="20"/>
        </w:rPr>
        <w:t>The Credit Agreement matures in November 2030 and provides for a term loan as well as the Credit Facility of up to $1.65 billion. Our availability under the Credit Facility is limited by, among other things, our consolidated total leverage ratio, which is defined in the Credit Agreement and is based, in part, on our consolidated earnings before interest, taxes, depreciation and amortization, and share-based compensation, with such adjustments as specified therein, for the four immediately preceding fiscal quarters. The Credit Agreement generally limits the total amount of indebtedness we may incur to a consolidated total leverage ratio of not more than 4.75 to 1.</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As a result of the foregoing, as well as other covenants and restrictions contained in our Credit Agreement, our availability under the Credit Facility may fluctuate from period to period. In addition, our failure to comply with the covenants contained in our Credit Agreement could result in an event of default. An event of default, if not cured or waived, would permit acceleration of any outstanding indebtedness under the Credit Facility and our term loan, trigger cross-defaults under certain other agreements to which we are a party, and impair our ability to obtain working capital advances and issue letters of credit, which would have a material adverse effect on our business, financial condition, results of operations and cash flows.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See Note 7. Debt, Interest Income, Expense, and Other Finance Costs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before="0" w:after="120"/>
        <w:jc w:val="both"/>
        <w:rPr/>
      </w:pPr>
      <w:r>
        <w:rPr/>
      </w:r>
    </w:p>
    <w:p>
      <w:pPr>
        <w:pStyle w:val="TextBody"/>
        <w:bidi w:val="0"/>
        <w:spacing w:before="240" w:after="240"/>
        <w:jc w:val="left"/>
        <w:rPr/>
      </w:pPr>
      <w:r>
        <w:rPr/>
      </w:r>
    </w:p>
    <w:p>
      <w:pPr>
        <w:pStyle w:val="TextBody"/>
        <w:bidi w:val="0"/>
        <w:spacing w:lineRule="auto" w:line="288" w:before="0" w:after="120"/>
        <w:jc w:val="both"/>
        <w:rPr/>
      </w:pPr>
      <w:r>
        <w:rPr>
          <w:rFonts w:ascii="Arial;sans-serif" w:hAnsi="Arial;sans-serif"/>
          <w:b w:val="false"/>
          <w:i/>
          <w:color w:val="000000"/>
          <w:sz w:val="20"/>
        </w:rPr>
        <w:t>Receivables Purchase Agreements.</w:t>
      </w:r>
      <w:r>
        <w:rPr>
          <w:color w:val="000000"/>
        </w:rPr>
        <w:t xml:space="preserve"> </w:t>
      </w:r>
      <w:r>
        <w:rPr>
          <w:rFonts w:ascii="Arial;sans-serif" w:hAnsi="Arial;sans-serif"/>
          <w:b w:val="false"/>
          <w:color w:val="000000"/>
          <w:sz w:val="20"/>
        </w:rPr>
        <w:t>We also have accounts receivable programs under RPAs that allow us to sell a specified amount of qualifying accounts receivable and receive cash consideration equal to the total balance, less an associated fee, which varies based on the outstanding accounts receivable at any given time. The RPAs provide the constituent banks with the ability to add or remove customers from these programs in their discretion based on, among other things, the level of risk exposure the bank is willing to accept with respect to any particular customer. The fees the banks charge us to purchase the receivables from these customers can also be impacted for these reasons. During the second quarter of 2026, we amended one of our RPAs to increase the facility size. See Note 3. Accounts Receivable for additional information.</w:t>
      </w:r>
    </w:p>
    <w:p>
      <w:pPr>
        <w:pStyle w:val="TextBody"/>
        <w:bidi w:val="0"/>
        <w:spacing w:lineRule="auto" w:line="288" w:before="0" w:after="120"/>
        <w:jc w:val="both"/>
        <w:rPr/>
      </w:pPr>
      <w:r>
        <w:rPr>
          <w:rFonts w:ascii="Arial;sans-serif" w:hAnsi="Arial;sans-serif"/>
          <w:b w:val="false"/>
          <w:i/>
          <w:color w:val="000000"/>
          <w:sz w:val="20"/>
        </w:rPr>
        <w:t>Supplier Financing Programs.</w:t>
      </w:r>
      <w:r>
        <w:rPr>
          <w:color w:val="000000"/>
        </w:rPr>
        <w:t xml:space="preserve"> </w:t>
      </w:r>
      <w:r>
        <w:rPr>
          <w:rFonts w:ascii="Arial;sans-serif" w:hAnsi="Arial;sans-serif"/>
          <w:b w:val="false"/>
          <w:color w:val="000000"/>
          <w:sz w:val="20"/>
        </w:rPr>
        <w:t>Under various supplier finance programs, we agree to pay counterparties engaged as paying agents the stated amount of confirmed invoices from our designated suppliers on the original maturity date of the invoices. Under certain of these arrangements, we may also pay fees for the supplier finance platform and related support. See Note 6. Supplier Financing Programs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val="false"/>
          <w:color w:val="000000"/>
          <w:sz w:val="20"/>
          <w:u w:val="single"/>
        </w:rPr>
      </w:pPr>
      <w:r>
        <w:rPr>
          <w:rFonts w:ascii="Arial;sans-serif" w:hAnsi="Arial;sans-serif"/>
          <w:b w:val="false"/>
          <w:color w:val="000000"/>
          <w:sz w:val="20"/>
          <w:u w:val="single"/>
        </w:rPr>
        <w:t>Future Uses of Liquidity</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Cash is primarily used to fund working capital to support our operations as well as for strategic acquisitions and investments. There were no material changes in our expected future uses of liquidity from December 31, 2025 to June 30, 2026. For a discussion of these matters, refer to "Liquidity and Capital Resources" under Part II, Item 7 – Management's Discussion and Analysis of Financial Condition and Results of Operations of our 2025 10-K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val="false"/>
          <w:color w:val="000000"/>
          <w:sz w:val="20"/>
          <w:u w:val="single"/>
        </w:rPr>
      </w:pPr>
      <w:r>
        <w:rPr>
          <w:rFonts w:ascii="Arial;sans-serif" w:hAnsi="Arial;sans-serif"/>
          <w:b w:val="false"/>
          <w:color w:val="000000"/>
          <w:sz w:val="20"/>
          <w:u w:val="single"/>
        </w:rPr>
        <w:t>Cash Flows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following table reflects the major categories of cash flows for the six months ended June 30, 2026 and 2025 (in millions). For additional details, please see the unaudited Condensed Consolidated Statements of Cash Flows within this 10-Q Report.</w:t>
      </w:r>
    </w:p>
    <w:tbl>
      <w:tblPr>
        <w:tblW w:w="7889" w:type="dxa"/>
        <w:jc w:val="left"/>
        <w:tblInd w:w="0" w:type="dxa"/>
        <w:tblLayout w:type="fixed"/>
        <w:tblCellMar>
          <w:top w:w="28" w:type="dxa"/>
          <w:left w:w="28" w:type="dxa"/>
          <w:bottom w:w="28" w:type="dxa"/>
          <w:right w:w="28" w:type="dxa"/>
        </w:tblCellMar>
      </w:tblPr>
      <w:tblGrid>
        <w:gridCol w:w="1617"/>
        <w:gridCol w:w="1424"/>
        <w:gridCol w:w="1429"/>
        <w:gridCol w:w="319"/>
        <w:gridCol w:w="910"/>
        <w:gridCol w:w="165"/>
        <w:gridCol w:w="165"/>
        <w:gridCol w:w="165"/>
        <w:gridCol w:w="165"/>
        <w:gridCol w:w="319"/>
        <w:gridCol w:w="978"/>
        <w:gridCol w:w="233"/>
      </w:tblGrid>
      <w:tr>
        <w:trPr/>
        <w:tc>
          <w:tcPr>
            <w:tcW w:w="1617"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Six Months Ended June 30,</w:t>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(used in) operating activities</w:t>
            </w:r>
          </w:p>
        </w:tc>
        <w:tc>
          <w:tcPr>
            <w:tcW w:w="3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(67.7)</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142.6 </w:t>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(used in) investing activities</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(used in) financing activities</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(57.5)</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(131.1)</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pPr>
      <w:r>
        <w:rPr>
          <w:rFonts w:ascii="Arial;sans-serif" w:hAnsi="Arial;sans-serif"/>
          <w:b w:val="false"/>
          <w:i/>
          <w:color w:val="000000"/>
          <w:sz w:val="20"/>
        </w:rPr>
        <w:t>Operating Activities.</w:t>
      </w:r>
      <w:r>
        <w:rPr>
          <w:color w:val="000000"/>
        </w:rPr>
        <w:t> </w:t>
      </w:r>
      <w:r>
        <w:rPr>
          <w:rFonts w:ascii="Arial;sans-serif" w:hAnsi="Arial;sans-serif"/>
          <w:b w:val="false"/>
          <w:color w:val="000000"/>
          <w:sz w:val="20"/>
        </w:rPr>
        <w:t>For the six months ended June 30, 2026, net cash used in operating activities was $67.7 million, compared to $142.6 million net cash provided during the six months ended June 30, 2025. The $210.3 million decrease in operating cash flows was principally due to an increase in net cash used for accounts payable and accounts receivable, inventory, and in our derivative activities, driven by the increasing price environment during the six months ended June 30, 2026, partially offset by an increase in our net income adjusted for noncash items (see "Results of Operations" for further details of the drivers impacting our net income).</w:t>
      </w:r>
    </w:p>
    <w:p>
      <w:pPr>
        <w:pStyle w:val="TextBody"/>
        <w:bidi w:val="0"/>
        <w:spacing w:lineRule="auto" w:line="288" w:before="0" w:after="120"/>
        <w:jc w:val="both"/>
        <w:rPr/>
      </w:pPr>
      <w:r>
        <w:rPr>
          <w:rFonts w:ascii="Arial;sans-serif" w:hAnsi="Arial;sans-serif"/>
          <w:b w:val="false"/>
          <w:i/>
          <w:color w:val="000000"/>
          <w:sz w:val="20"/>
        </w:rPr>
        <w:t>Investing Activities.</w:t>
      </w:r>
      <w:r>
        <w:rPr>
          <w:color w:val="000000"/>
        </w:rPr>
        <w:t> </w:t>
      </w:r>
      <w:r>
        <w:rPr>
          <w:rFonts w:ascii="Arial;sans-serif" w:hAnsi="Arial;sans-serif"/>
          <w:b w:val="false"/>
          <w:color w:val="000000"/>
          <w:sz w:val="20"/>
        </w:rPr>
        <w:t>For the six months ended June 30, 2026, net cash provided by investing activities was $64.7 million, compared to net cash used of $4.8 million during the six months ended June 30, 2025. The net cash provided by investing activities for the six months ended June 30, 2026 was primarily driven by proceeds received from the Land Fuel Transportation and Lubricants sale of $84.5 million and capital expenditures of $27.6 million. Net cash used in investing activities for the six months ended June 30, 2025 was primarily driven by capital expenditures of $30.1 million and asset acquisitions of $13.0 million, partially offset by $23.4 million net proceeds from the Watson Sale and $18.0 million of cash received from the net repayment of notes receivable.</w:t>
      </w:r>
    </w:p>
    <w:p>
      <w:pPr>
        <w:pStyle w:val="TextBody"/>
        <w:bidi w:val="0"/>
        <w:spacing w:lineRule="auto" w:line="288" w:before="0" w:after="120"/>
        <w:jc w:val="both"/>
        <w:rPr/>
      </w:pPr>
      <w:r>
        <w:rPr>
          <w:rFonts w:ascii="Arial;sans-serif" w:hAnsi="Arial;sans-serif"/>
          <w:b w:val="false"/>
          <w:i/>
          <w:color w:val="000000"/>
          <w:sz w:val="20"/>
        </w:rPr>
        <w:t>Financing Activities.</w:t>
      </w:r>
      <w:r>
        <w:rPr>
          <w:color w:val="000000"/>
        </w:rPr>
        <w:t> </w:t>
      </w:r>
      <w:r>
        <w:rPr>
          <w:rFonts w:ascii="Arial;sans-serif" w:hAnsi="Arial;sans-serif"/>
          <w:b w:val="false"/>
          <w:color w:val="000000"/>
          <w:sz w:val="20"/>
        </w:rPr>
        <w:t>For the six months ended June 30, 2026, net cash used in financing activities was $57.5 million compared to net cash used of $131.1 million for the six months ended June 30, 2025. The net cash used in financing activities for the six months ended June 30, 2026 was principally attributable to repurchases of common stock of $89.3 million and dividend payments of $20.9 million, partially offset by net borrowings of debt of $49.7 million. Net cash used in financing activities for the six months ended June 30, 2025 was primarily attributable to net repayments of debt of $58.8 million driven by the repayment of secured borrowings associated with the transfer of transaction taxes as well as net repayments under our Credit Facility, repurchases of common stock of $45.0 million, and dividend payments of $19.2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before="0" w:after="120"/>
        <w:jc w:val="both"/>
        <w:rPr/>
      </w:pPr>
      <w:r>
        <w:rPr/>
      </w:r>
    </w:p>
    <w:p>
      <w:pPr>
        <w:pStyle w:val="TextBody"/>
        <w:bidi w:val="0"/>
        <w:spacing w:before="240" w:after="240"/>
        <w:jc w:val="left"/>
        <w:rPr/>
      </w:pPr>
      <w:r>
        <w:rPr/>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Critical Accounting Estimates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unaudited Condensed Consolidated Financial Statements are prepared in accordance with U.S. GAAP. The significant accounting policies used are disclosed in Item 15 – Financial Statement Schedules, Note 1. Basis of Presentation, New Accounting Standards, and Significant Accounting Policies to the Consolidated Financial Statements in our 2025 10-K Report.</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We make estimates and assumptions that affect the reported amounts on our unaudited Condensed Consolidated Financial Statements and accompanying Notes as of the date of the unaudited Condensed Consolidated Financial Statements. There have been no material changes to the Critical Accounting Estimates disclosed in our 2025 10-K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Arial;sans-serif" w:hAnsi="Arial;sans-serif"/>
          <w:b/>
          <w:color w:val="000000"/>
          <w:sz w:val="20"/>
        </w:rPr>
      </w:pPr>
      <w:r>
        <w:rPr>
          <w:rFonts w:ascii="Arial;sans-serif" w:hAnsi="Arial;sans-serif"/>
          <w:b/>
          <w:color w:val="000000"/>
          <w:sz w:val="20"/>
        </w:rPr>
        <w:t>Item 3. Quantitative and Qualitative Disclosures About Market Risk</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There have been no material changes to our exposures to commodity price, interest rate, or foreign currency risk since December 31, 2025. Please refer to Part II, Item 7A - Quantitative and Qualitative Disclosures About Market Risk of our 2025 10-K Report for a complete discussion of our exposure to these risks.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For information about our derivative instruments at their respective fair value positions as of June 30, 2026, see Note 4. Derivative Instruments.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Management's Evaluation of Disclosure Controls and Procedures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We maintain disclosure controls and procedures that are designed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("CEO") and our Chief Financial Officer ("CFO"), as appropriate, to allow timely decisions regarding required financial disclosure.</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As of the end of the period covered by this 10-Q Report, we evaluated, under the supervision and with the participation of our CEO and CFO, the effectiveness of the design and operation of our disclosure controls and procedures pursuant to Exchange Act Rule 13a-15(e). Based upon this evaluation, the CEO and CFO concluded that our disclosure controls and procedures were effective at a reasonable assurance level as of June 30, 2026.</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Changes in Internal Control over Financial Reporting</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There were no changes in our internal control over financial reporting that materially affected, or are reasonably likely to materially affect, our internal control over financial reporting during the three months ended June 30, 2026.</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It should be noted that any system of controls, however well designed and operated, can provide only reasonable, and not absolute, assurance that the objectives of the system will be met. In addition, the design of any control system is based in part upon certain assumptions about the likelihood of future events. Because of these and other inherent limitations of control systems, there is only the reasonable assurance that our controls will succeed in achieving their goals under all potential future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before="0" w:after="120"/>
        <w:jc w:val="both"/>
        <w:rPr/>
      </w:pPr>
      <w:r>
        <w:rPr/>
      </w:r>
    </w:p>
    <w:p>
      <w:pPr>
        <w:pStyle w:val="TextBody"/>
        <w:bidi w:val="0"/>
        <w:spacing w:before="240" w:after="240"/>
        <w:jc w:val="left"/>
        <w:rPr/>
      </w:pPr>
      <w:r>
        <w:rPr/>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Arial;sans-serif" w:hAnsi="Arial;sans-serif"/>
          <w:b/>
          <w:color w:val="000000"/>
          <w:sz w:val="20"/>
        </w:rPr>
      </w:pPr>
      <w:r>
        <w:rPr>
          <w:rFonts w:ascii="Arial;sans-serif" w:hAnsi="Arial;sans-serif"/>
          <w:b/>
          <w:color w:val="000000"/>
          <w:sz w:val="20"/>
        </w:rPr>
        <w:t>Item 1. Legal Proceedings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From time to time, we are under review by the IRS and various other domestic and foreign tax authorities with regards to income tax and indirect tax matters and are involved in various inquiries, audits, challenges and litigation in a number of countries, and the amounts under controversy may be material. See Notes 8. Commitments and Contingencies and 11. Income Taxes within this 10-Q Report as well as Notes 10. Commitments and Contingencies and 14. Income Taxes within Part IV. Item 15 – Notes to the Consolidated Financial Statements in our 2025 10-K Report for additional details regarding certain tax matters.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We are also a party to various claims, complaints and proceedings arising in the ordinary course of our business including, but not limited to, environmental claims, commercial and governmental contract claims, such as property damage, demurrage, personal injury, billing and fuel quality claims, as well as bankruptcy preference claims and administrative claims.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In addition, Item 103 of Regulation S-K promulgated by the SEC requires disclosure of certain environmental matters when a governmental authority is a party to the proceedings and such proceedings involve potential monetary sanctions, unless we reasonably believe that the matter will result in no monetary sanctions, or in monetary sanctions, exclusive of interest and costs, of less than a specified threshold. We have elected to use a threshold of $1 million for purposes of determining whether the disclosure of any such environmental proceeding is required.</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We are not currently a party to any claim, complaint or proceeding that we expect to have a material adverse effect on our business or financial condition. However, any adverse resolution of one or more such claims, complaints or proceedings during a particular reporting period could have a material adverse effect on our Condensed Consolidated Financial Statements or disclosures for that period. See Note 8. Commitments and Contingencies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Arial;sans-serif" w:hAnsi="Arial;sans-serif"/>
          <w:b/>
          <w:color w:val="000000"/>
          <w:sz w:val="20"/>
        </w:rPr>
      </w:pPr>
      <w:r>
        <w:rPr>
          <w:rFonts w:ascii="Arial;sans-serif" w:hAnsi="Arial;sans-serif"/>
          <w:b/>
          <w:color w:val="000000"/>
          <w:sz w:val="20"/>
        </w:rPr>
        <w:t>Item 1A. Risk Factors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Factors that could cause our actual results to differ materially from those in this report include the risk factors previously disclosed under Part I, Item 1A – Risk Factors of our 2025 10-K Report, as supplemented by the risk factors described in our Quarterly Report on Form 10-Q for the quarter ended March 31, 2026, filed with the SEC on April 24, 2026.</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As of the date of this Quarterly Report on Form 10-Q, there have been no material changes to the risk factors disclosed in our 2025 10-K Report and as supplemented by the risk factors described in our Quarterly Report on Form 10-Q for the quarter ended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Arial;sans-serif" w:hAnsi="Arial;sans-serif"/>
          <w:b/>
          <w:color w:val="000000"/>
          <w:sz w:val="20"/>
        </w:rPr>
      </w:pPr>
      <w:r>
        <w:rPr>
          <w:rFonts w:ascii="Arial;sans-serif" w:hAnsi="Arial;sans-serif"/>
          <w:b/>
          <w:color w:val="000000"/>
          <w:sz w:val="20"/>
        </w:rPr>
        <w:t>Item 2.     Unregistered Sales of Equity Securities and Use of Proceeds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Issuer Purchases of Equity Securities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following table presents information with respect to repurchases of common stock made by us during the periods presented (in thousands, except average price paid per share):</w:t>
      </w:r>
    </w:p>
    <w:tbl>
      <w:tblPr>
        <w:tblW w:w="10100" w:type="dxa"/>
        <w:jc w:val="left"/>
        <w:tblInd w:w="0" w:type="dxa"/>
        <w:tblLayout w:type="fixed"/>
        <w:tblCellMar>
          <w:top w:w="28" w:type="dxa"/>
          <w:left w:w="28" w:type="dxa"/>
          <w:bottom w:w="28" w:type="dxa"/>
          <w:right w:w="28" w:type="dxa"/>
        </w:tblCellMar>
      </w:tblPr>
      <w:tblGrid>
        <w:gridCol w:w="688"/>
        <w:gridCol w:w="605"/>
        <w:gridCol w:w="611"/>
        <w:gridCol w:w="109"/>
        <w:gridCol w:w="109"/>
        <w:gridCol w:w="109"/>
        <w:gridCol w:w="455"/>
        <w:gridCol w:w="455"/>
        <w:gridCol w:w="456"/>
        <w:gridCol w:w="109"/>
        <w:gridCol w:w="109"/>
        <w:gridCol w:w="109"/>
        <w:gridCol w:w="272"/>
        <w:gridCol w:w="833"/>
        <w:gridCol w:w="140"/>
        <w:gridCol w:w="109"/>
        <w:gridCol w:w="109"/>
        <w:gridCol w:w="109"/>
        <w:gridCol w:w="680"/>
        <w:gridCol w:w="680"/>
        <w:gridCol w:w="681"/>
        <w:gridCol w:w="109"/>
        <w:gridCol w:w="109"/>
        <w:gridCol w:w="109"/>
        <w:gridCol w:w="386"/>
        <w:gridCol w:w="1567"/>
        <w:gridCol w:w="283"/>
      </w:tblGrid>
      <w:tr>
        <w:trPr/>
        <w:tc>
          <w:tcPr>
            <w:tcW w:w="688"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 Number</w:t>
              <w:br/>
              <w:t>of Shares</w:t>
              <w:br/>
              <w:t>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 xml:space="preserve">Average </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Price Paid </w:t>
            </w:r>
          </w:p>
          <w:p>
            <w:pPr>
              <w:pStyle w:val="TableContents"/>
              <w:bidi w:val="0"/>
              <w:spacing w:lineRule="auto" w:line="240" w:before="0" w:after="0"/>
              <w:jc w:val="center"/>
              <w:rPr/>
            </w:pPr>
            <w:r>
              <w:rPr>
                <w:rFonts w:ascii="Arial;sans-serif" w:hAnsi="Arial;sans-serif"/>
                <w:b/>
                <w:color w:val="000000"/>
                <w:sz w:val="20"/>
              </w:rPr>
              <w:t xml:space="preserve">Per Share </w:t>
            </w:r>
            <w:r>
              <w:rPr>
                <w:rFonts w:ascii="Arial;sans-serif" w:hAnsi="Arial;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 Number</w:t>
              <w:br/>
              <w:t>of Shares Purchased</w:t>
              <w:br/>
              <w:t>as Part of Publicly</w:t>
              <w:br/>
              <w:t>Announced Plans</w:t>
              <w:br/>
              <w:t>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Approximate Dollar</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Value of Shares that</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May Yet Be Purchased</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Under the Plans or</w:t>
            </w:r>
          </w:p>
          <w:p>
            <w:pPr>
              <w:pStyle w:val="TableContents"/>
              <w:bidi w:val="0"/>
              <w:spacing w:lineRule="auto" w:line="240" w:before="0" w:after="0"/>
              <w:jc w:val="center"/>
              <w:rPr/>
            </w:pPr>
            <w:r>
              <w:rPr>
                <w:rFonts w:ascii="Arial;sans-serif" w:hAnsi="Arial;sans-serif"/>
                <w:b/>
                <w:color w:val="000000"/>
                <w:sz w:val="20"/>
              </w:rPr>
              <w:t>Programs</w:t>
            </w:r>
            <w:r>
              <w:rPr>
                <w:color w:val="000000"/>
              </w:rPr>
              <w:t xml:space="preserve"> </w:t>
            </w:r>
            <w:r>
              <w:rPr>
                <w:rFonts w:ascii="Arial;sans-serif" w:hAnsi="Arial;sans-serif"/>
                <w:b/>
                <w:color w:val="000000"/>
                <w:sz w:val="13"/>
              </w:rPr>
              <w:t>(2)</w:t>
            </w:r>
          </w:p>
        </w:tc>
      </w:tr>
      <w:tr>
        <w:trPr/>
        <w:tc>
          <w:tcPr>
            <w:tcW w:w="190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4/1/2026 - 4/30/2026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227,023 </w:t>
            </w:r>
          </w:p>
        </w:tc>
        <w:tc>
          <w:tcPr>
            <w:tcW w:w="2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5/1/2026 - 5/31/2026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500 </w:t>
            </w:r>
          </w:p>
        </w:tc>
        <w:tc>
          <w:tcPr>
            <w:tcW w:w="4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28.56 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500 </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212,735 </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6/1/2026 - 6/30/2026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212,735 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500 </w:t>
            </w:r>
          </w:p>
        </w:tc>
        <w:tc>
          <w:tcPr>
            <w:tcW w:w="45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28.56 </w:t>
            </w:r>
          </w:p>
        </w:tc>
        <w:tc>
          <w:tcPr>
            <w:tcW w:w="14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500 </w:t>
            </w:r>
          </w:p>
        </w:tc>
        <w:tc>
          <w:tcPr>
            <w:tcW w:w="68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6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212,735 </w:t>
            </w:r>
          </w:p>
        </w:tc>
        <w:tc>
          <w:tcPr>
            <w:tcW w:w="28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pPr>
      <w:r>
        <w:rPr>
          <w:rFonts w:ascii="Arial;sans-serif" w:hAnsi="Arial;sans-serif"/>
          <w:b w:val="false"/>
          <w:color w:val="000000"/>
          <w:sz w:val="13"/>
        </w:rPr>
        <w:t>(1)</w:t>
      </w:r>
      <w:r>
        <w:rPr>
          <w:color w:val="000000"/>
        </w:rPr>
        <w:t>    </w:t>
      </w:r>
      <w:r>
        <w:rPr>
          <w:rFonts w:ascii="Arial;sans-serif" w:hAnsi="Arial;sans-serif"/>
          <w:b w:val="false"/>
          <w:color w:val="000000"/>
          <w:sz w:val="20"/>
        </w:rPr>
        <w:t>The average price paid per share excludes the impact of the 1% Federal excise tax owed pursuant to the Inflation Reduction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4"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before="0" w:after="120"/>
        <w:jc w:val="both"/>
        <w:rPr/>
      </w:pPr>
      <w:r>
        <w:rPr/>
      </w:r>
    </w:p>
    <w:p>
      <w:pPr>
        <w:pStyle w:val="TextBody"/>
        <w:bidi w:val="0"/>
        <w:spacing w:before="240" w:after="240"/>
        <w:jc w:val="left"/>
        <w:rPr/>
      </w:pPr>
      <w:r>
        <w:rPr/>
      </w:r>
    </w:p>
    <w:p>
      <w:pPr>
        <w:pStyle w:val="TextBody"/>
        <w:bidi w:val="0"/>
        <w:spacing w:lineRule="auto" w:line="288" w:before="0" w:after="120"/>
        <w:ind w:left="0" w:right="0" w:hanging="360"/>
        <w:jc w:val="both"/>
        <w:rPr/>
      </w:pPr>
      <w:r>
        <w:rPr>
          <w:rFonts w:ascii="Arial;sans-serif" w:hAnsi="Arial;sans-serif"/>
          <w:b w:val="false"/>
          <w:color w:val="000000"/>
          <w:sz w:val="13"/>
        </w:rPr>
        <w:t>(2)</w:t>
      </w:r>
      <w:r>
        <w:rPr>
          <w:color w:val="000000"/>
        </w:rPr>
        <w:t>    </w:t>
      </w:r>
      <w:r>
        <w:rPr>
          <w:rFonts w:ascii="Arial;sans-serif" w:hAnsi="Arial;sans-serif"/>
          <w:b w:val="false"/>
          <w:color w:val="000000"/>
          <w:sz w:val="20"/>
        </w:rPr>
        <w:t>On September 9, 2024 and December 4, 2025, we announced that our Board of Directors approved stock repurchase programs authorizing common stock repurchases of $200.0 million and $150.0 million, respectively. These repurchase authorizations do not require a minimum number of shares of common stock to be purchased, have no expiration date, and repurchases may be initiated, suspended or discontinued at any time. As of June 30, 2026, approximately $212.7 million remained available under our repurchase authorizations. The timing and amount of our repurchases will depend on market conditions, share price, securities law and other legal requirements and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Arial;sans-serif" w:hAnsi="Arial;sans-serif"/>
          <w:b/>
          <w:color w:val="000000"/>
          <w:sz w:val="20"/>
        </w:rPr>
      </w:pPr>
      <w:r>
        <w:rPr>
          <w:rFonts w:ascii="Arial;sans-serif" w:hAnsi="Arial;sans-serif"/>
          <w:b/>
          <w:color w:val="000000"/>
          <w:sz w:val="20"/>
        </w:rPr>
        <w:t>Item 5.     Other Information</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Rule 10b5-1 Trading Plans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During the three months ended June 30, 2026, none of our officers (as defined in Rule 16a-1(f) of the Exchange Act) or directors adopted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Arial;sans-serif" w:hAnsi="Arial;sans-serif"/>
          <w:b/>
          <w:color w:val="000000"/>
          <w:sz w:val="20"/>
        </w:rPr>
        <w:t>Item 6.     Exhibits</w:t>
      </w:r>
      <w:r>
        <w:rPr>
          <w:color w:val="000000"/>
        </w:rPr>
        <w:t> </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exhibits set forth in the following index of exhibits are filed as part of this 10-Q Report:</w:t>
      </w:r>
    </w:p>
    <w:tbl>
      <w:tblPr>
        <w:tblW w:w="10205" w:type="dxa"/>
        <w:jc w:val="left"/>
        <w:tblInd w:w="0" w:type="dxa"/>
        <w:tblLayout w:type="fixed"/>
        <w:tblCellMar>
          <w:top w:w="28" w:type="dxa"/>
          <w:left w:w="28" w:type="dxa"/>
          <w:bottom w:w="28" w:type="dxa"/>
          <w:right w:w="28" w:type="dxa"/>
        </w:tblCellMar>
      </w:tblPr>
      <w:tblGrid>
        <w:gridCol w:w="419"/>
        <w:gridCol w:w="368"/>
        <w:gridCol w:w="369"/>
        <w:gridCol w:w="109"/>
        <w:gridCol w:w="109"/>
        <w:gridCol w:w="109"/>
        <w:gridCol w:w="2747"/>
        <w:gridCol w:w="2473"/>
        <w:gridCol w:w="3502"/>
      </w:tblGrid>
      <w:tr>
        <w:trPr/>
        <w:tc>
          <w:tcPr>
            <w:tcW w:w="41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7" w:type="dxa"/>
            <w:tcBorders/>
            <w:vAlign w:val="center"/>
          </w:tcPr>
          <w:p>
            <w:pPr>
              <w:pStyle w:val="TableContents"/>
              <w:bidi w:val="0"/>
              <w:spacing w:before="0" w:after="283"/>
              <w:jc w:val="left"/>
              <w:rPr>
                <w:sz w:val="4"/>
                <w:szCs w:val="4"/>
              </w:rPr>
            </w:pPr>
            <w:r>
              <w:rPr>
                <w:sz w:val="4"/>
                <w:szCs w:val="4"/>
              </w:rPr>
            </w:r>
          </w:p>
        </w:tc>
        <w:tc>
          <w:tcPr>
            <w:tcW w:w="2473" w:type="dxa"/>
            <w:tcBorders/>
            <w:vAlign w:val="center"/>
          </w:tcPr>
          <w:p>
            <w:pPr>
              <w:pStyle w:val="TableContents"/>
              <w:bidi w:val="0"/>
              <w:spacing w:before="0" w:after="283"/>
              <w:jc w:val="left"/>
              <w:rPr>
                <w:sz w:val="4"/>
                <w:szCs w:val="4"/>
              </w:rPr>
            </w:pPr>
            <w:r>
              <w:rPr>
                <w:sz w:val="4"/>
                <w:szCs w:val="4"/>
              </w:rPr>
            </w:r>
          </w:p>
        </w:tc>
        <w:tc>
          <w:tcPr>
            <w:tcW w:w="3502"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Description</w:t>
            </w:r>
          </w:p>
        </w:tc>
      </w:tr>
      <w:tr>
        <w:trPr/>
        <w:tc>
          <w:tcPr>
            <w:tcW w:w="11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311_2026q2.htm">
              <w:r>
                <w:rPr>
                  <w:rStyle w:val="InternetLink"/>
                  <w:rFonts w:ascii="Arial;sans-serif" w:hAnsi="Arial;sans-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Certification of the Chief Executive Officer pursuant to Rule 13a-14(a) or Rule 15d — 14(a)</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312_2026q2.htm">
              <w:r>
                <w:rPr>
                  <w:rStyle w:val="InternetLink"/>
                  <w:rFonts w:ascii="Arial;sans-serif" w:hAnsi="Arial;sans-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Certification of the Chief Financial Officer pursuant to Rule 13a-14(a) or Rule 15d — 14(a)</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321_2026q2.htm">
              <w:r>
                <w:rPr>
                  <w:rStyle w:val="InternetLink"/>
                  <w:rFonts w:ascii="Arial;sans-serif" w:hAnsi="Arial;sans-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Certification of Chief Executive Officer and Chief Financial Officer under Section 906 of the Sarbanes-Oxley Act of 2002 (furnished herewith)</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The following materials from World Kinect Corporation's Quarterly Report on Form 10-Q for the quarter ended June 30, 2026, formatted in XBRL (Extensible Business Reporting Language); (i) Condensed Consolidated Balance Sheets, (ii) Condensed Consolidated Statements of Income and Comprehensive Income, (iii) Condensed Consolidated Statements of Shareholders’ Equity, (iv) Condensed Consolidated Statements of Cash Flows, and (v) Notes to the Condensed Consolidated Financial Statements.</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Cover page interactive file (formatted in Inline XBRL and contained in Exhibit 101)</w:t>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0"/>
        <w:jc w:val="both"/>
        <w:rPr/>
      </w:pPr>
      <w:r>
        <w:rPr/>
      </w:r>
    </w:p>
    <w:p>
      <w:pPr>
        <w:pStyle w:val="TextBody"/>
        <w:bidi w:val="0"/>
        <w:spacing w:before="0" w:after="20"/>
        <w:jc w:val="both"/>
        <w:rPr/>
      </w:pPr>
      <w:r>
        <w:rPr/>
      </w:r>
    </w:p>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5"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before="0" w:after="120"/>
        <w:jc w:val="both"/>
        <w:rPr/>
      </w:pPr>
      <w:r>
        <w:rPr/>
      </w:r>
    </w:p>
    <w:p>
      <w:pPr>
        <w:pStyle w:val="TextBody"/>
        <w:bidi w:val="0"/>
        <w:spacing w:before="240" w:after="240"/>
        <w:jc w:val="left"/>
        <w:rPr/>
      </w:pPr>
      <w:r>
        <w:rPr/>
      </w:r>
    </w:p>
    <w:p>
      <w:pPr>
        <w:pStyle w:val="TextBody"/>
        <w:bidi w:val="0"/>
        <w:spacing w:lineRule="auto" w:line="288" w:before="120" w:after="12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0" w:after="120"/>
        <w:ind w:left="0" w:right="0" w:firstLine="720"/>
        <w:jc w:val="center"/>
        <w:rPr>
          <w:color w:val="000000"/>
        </w:rPr>
      </w:pPr>
      <w:r>
        <w:rPr>
          <w:color w:val="000000"/>
        </w:rPr>
        <w:t> </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120"/>
        <w:jc w:val="both"/>
        <w:rPr>
          <w:color w:val="000000"/>
        </w:rPr>
      </w:pPr>
      <w:r>
        <w:rPr>
          <w:color w:val="000000"/>
        </w:rPr>
        <w:t> </w:t>
      </w:r>
    </w:p>
    <w:tbl>
      <w:tblPr>
        <w:tblW w:w="6539" w:type="dxa"/>
        <w:jc w:val="left"/>
        <w:tblInd w:w="0" w:type="dxa"/>
        <w:tblLayout w:type="fixed"/>
        <w:tblCellMar>
          <w:top w:w="28" w:type="dxa"/>
          <w:left w:w="28" w:type="dxa"/>
          <w:bottom w:w="28" w:type="dxa"/>
          <w:right w:w="28" w:type="dxa"/>
        </w:tblCellMar>
      </w:tblPr>
      <w:tblGrid>
        <w:gridCol w:w="656"/>
        <w:gridCol w:w="576"/>
        <w:gridCol w:w="582"/>
        <w:gridCol w:w="1383"/>
        <w:gridCol w:w="1383"/>
        <w:gridCol w:w="1959"/>
      </w:tblGrid>
      <w:tr>
        <w:trPr/>
        <w:tc>
          <w:tcPr>
            <w:tcW w:w="65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July 24, 2026</w:t>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World Kinect Corporation</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Ira M. Birns</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Ira M. Birns</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Chief Executive Officer</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 Jose-Miguel Tejada</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Jose-Miguel Tejada</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Executive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ind w:left="0" w:right="0" w:firstLine="720"/>
        <w:jc w:val="right"/>
        <w:rPr>
          <w:rFonts w:ascii="Arial;sans-serif" w:hAnsi="Arial;sans-serif"/>
          <w:b/>
          <w:color w:val="000000"/>
          <w:sz w:val="20"/>
        </w:rPr>
      </w:pPr>
      <w:r>
        <w:rPr>
          <w:rFonts w:ascii="Arial;sans-serif" w:hAnsi="Arial;sans-serif"/>
          <w:b/>
          <w:color w:val="000000"/>
          <w:sz w:val="20"/>
        </w:rPr>
        <w:t>Exhibit 31.1</w:t>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6"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26.4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of the Chief Executive Officer</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Pursuant to</w:t>
      </w:r>
    </w:p>
    <w:p>
      <w:pPr>
        <w:pStyle w:val="TextBody"/>
        <w:bidi w:val="0"/>
        <w:spacing w:lineRule="auto" w:line="288" w:before="0" w:after="0"/>
        <w:jc w:val="center"/>
        <w:rPr/>
      </w:pPr>
      <w:r>
        <w:rPr>
          <w:rFonts w:ascii="Arial;sans-serif" w:hAnsi="Arial;sans-serif"/>
          <w:b/>
          <w:color w:val="000000"/>
          <w:sz w:val="20"/>
        </w:rPr>
        <w:t>Rule 13a-14(a) or 15d-14(a)</w:t>
      </w:r>
      <w:r>
        <w:rPr>
          <w:color w:val="000000"/>
        </w:rPr>
        <w:t> </w:t>
      </w:r>
    </w:p>
    <w:p>
      <w:pPr>
        <w:pStyle w:val="TextBody"/>
        <w:bidi w:val="0"/>
        <w:spacing w:lineRule="auto" w:line="288" w:before="480" w:after="120"/>
        <w:jc w:val="left"/>
        <w:rPr>
          <w:rFonts w:ascii="Arial;sans-serif" w:hAnsi="Arial;sans-serif"/>
          <w:b w:val="false"/>
          <w:color w:val="000000"/>
          <w:sz w:val="20"/>
        </w:rPr>
      </w:pPr>
      <w:r>
        <w:rPr>
          <w:rFonts w:ascii="Arial;sans-serif" w:hAnsi="Arial;sans-serif"/>
          <w:b w:val="false"/>
          <w:color w:val="000000"/>
          <w:sz w:val="20"/>
        </w:rPr>
        <w:t>I, Ira M. Birns, certify that:</w:t>
      </w:r>
    </w:p>
    <w:p>
      <w:pPr>
        <w:pStyle w:val="TextBody"/>
        <w:bidi w:val="0"/>
        <w:spacing w:lineRule="auto" w:line="288" w:before="120" w:after="120"/>
        <w:ind w:left="0" w:right="0" w:hanging="36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World Kinect Corporation for the period ended June 30, 2026;</w:t>
      </w:r>
    </w:p>
    <w:p>
      <w:pPr>
        <w:pStyle w:val="TextBody"/>
        <w:bidi w:val="0"/>
        <w:spacing w:lineRule="auto" w:line="288" w:before="120" w:after="120"/>
        <w:ind w:left="0" w:right="0" w:hanging="36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120"/>
        <w:ind w:left="0" w:right="0" w:hanging="36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120"/>
        <w:ind w:left="0" w:right="0" w:hanging="360"/>
        <w:jc w:val="left"/>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120"/>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120"/>
        <w:ind w:left="0" w:right="0" w:hanging="36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120"/>
        <w:ind w:left="0" w:right="0" w:hanging="36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120"/>
        <w:ind w:left="0" w:right="0" w:hanging="36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lineRule="auto" w:line="288" w:before="120" w:after="120"/>
        <w:ind w:left="0" w:right="0" w:hanging="36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120"/>
        <w:ind w:left="0" w:right="0" w:hanging="36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480"/>
        <w:ind w:left="0" w:right="0" w:hanging="36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tbl>
      <w:tblPr>
        <w:tblW w:w="3989" w:type="dxa"/>
        <w:jc w:val="left"/>
        <w:tblInd w:w="0" w:type="dxa"/>
        <w:tblLayout w:type="fixed"/>
        <w:tblCellMar>
          <w:top w:w="28" w:type="dxa"/>
          <w:left w:w="28" w:type="dxa"/>
          <w:bottom w:w="28" w:type="dxa"/>
          <w:right w:w="28" w:type="dxa"/>
        </w:tblCellMar>
      </w:tblPr>
      <w:tblGrid>
        <w:gridCol w:w="656"/>
        <w:gridCol w:w="576"/>
        <w:gridCol w:w="582"/>
        <w:gridCol w:w="637"/>
        <w:gridCol w:w="637"/>
        <w:gridCol w:w="901"/>
      </w:tblGrid>
      <w:tr>
        <w:trPr/>
        <w:tc>
          <w:tcPr>
            <w:tcW w:w="65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July 24, 2026</w:t>
            </w:r>
          </w:p>
        </w:tc>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Ira M. Birns</w:t>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Ira M. Birns</w:t>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ind w:left="0" w:right="0" w:firstLine="720"/>
        <w:jc w:val="right"/>
        <w:rPr>
          <w:rFonts w:ascii="Arial;sans-serif" w:hAnsi="Arial;sans-serif"/>
          <w:b/>
          <w:color w:val="000000"/>
          <w:sz w:val="20"/>
        </w:rPr>
      </w:pPr>
      <w:r>
        <w:rPr>
          <w:rFonts w:ascii="Arial;sans-serif" w:hAnsi="Arial;sans-serif"/>
          <w:b/>
          <w:color w:val="000000"/>
          <w:sz w:val="20"/>
        </w:rPr>
        <w:t>Exhibit 31.2</w:t>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of the Chief Financial Officer</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Rule 13a-14(a) or 15d-14(a)</w:t>
      </w:r>
    </w:p>
    <w:p>
      <w:pPr>
        <w:pStyle w:val="TextBody"/>
        <w:bidi w:val="0"/>
        <w:spacing w:lineRule="auto" w:line="288" w:before="480" w:after="120"/>
        <w:jc w:val="left"/>
        <w:rPr>
          <w:rFonts w:ascii="Arial;sans-serif" w:hAnsi="Arial;sans-serif"/>
          <w:b w:val="false"/>
          <w:color w:val="000000"/>
          <w:sz w:val="20"/>
        </w:rPr>
      </w:pPr>
      <w:r>
        <w:rPr>
          <w:rFonts w:ascii="Arial;sans-serif" w:hAnsi="Arial;sans-serif"/>
          <w:b w:val="false"/>
          <w:color w:val="000000"/>
          <w:sz w:val="20"/>
        </w:rPr>
        <w:t>I, Jose-Miguel Tejada, certify that:</w:t>
      </w:r>
    </w:p>
    <w:p>
      <w:pPr>
        <w:pStyle w:val="TextBody"/>
        <w:bidi w:val="0"/>
        <w:spacing w:lineRule="auto" w:line="288" w:before="120" w:after="120"/>
        <w:ind w:left="0" w:right="0" w:hanging="36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World Kinect Corporation for the period ended June 30, 2026;</w:t>
      </w:r>
    </w:p>
    <w:p>
      <w:pPr>
        <w:pStyle w:val="TextBody"/>
        <w:bidi w:val="0"/>
        <w:spacing w:lineRule="auto" w:line="288" w:before="120" w:after="120"/>
        <w:ind w:left="0" w:right="0" w:hanging="36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120"/>
        <w:ind w:left="0" w:right="0" w:hanging="36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120"/>
        <w:ind w:left="0" w:right="0" w:hanging="360"/>
        <w:jc w:val="left"/>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120"/>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120"/>
        <w:ind w:left="0" w:right="0" w:hanging="36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120"/>
        <w:ind w:left="0" w:right="0" w:hanging="36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120"/>
        <w:ind w:left="0" w:right="0" w:hanging="36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lineRule="auto" w:line="288" w:before="120" w:after="120"/>
        <w:ind w:left="0" w:right="0" w:hanging="36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120"/>
        <w:ind w:left="0" w:right="0" w:hanging="36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480"/>
        <w:ind w:left="0" w:right="0" w:hanging="36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tbl>
      <w:tblPr>
        <w:tblW w:w="6538" w:type="dxa"/>
        <w:jc w:val="center"/>
        <w:tblInd w:w="0" w:type="dxa"/>
        <w:tblLayout w:type="fixed"/>
        <w:tblCellMar>
          <w:top w:w="28" w:type="dxa"/>
          <w:left w:w="28" w:type="dxa"/>
          <w:bottom w:w="28" w:type="dxa"/>
          <w:right w:w="28" w:type="dxa"/>
        </w:tblCellMar>
      </w:tblPr>
      <w:tblGrid>
        <w:gridCol w:w="656"/>
        <w:gridCol w:w="576"/>
        <w:gridCol w:w="582"/>
        <w:gridCol w:w="1380"/>
        <w:gridCol w:w="1380"/>
        <w:gridCol w:w="1964"/>
      </w:tblGrid>
      <w:tr>
        <w:trPr/>
        <w:tc>
          <w:tcPr>
            <w:tcW w:w="65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July 24, 2026</w:t>
            </w:r>
          </w:p>
        </w:tc>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 Jose-Miguel Tejada</w:t>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Jose-Miguel Tejada</w:t>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Executive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ind w:left="0" w:right="0" w:firstLine="1260"/>
        <w:jc w:val="right"/>
        <w:rPr>
          <w:rFonts w:ascii="Arial;sans-serif" w:hAnsi="Arial;sans-serif"/>
          <w:b/>
          <w:color w:val="000000"/>
          <w:sz w:val="20"/>
        </w:rPr>
      </w:pPr>
      <w:r>
        <w:rPr>
          <w:rFonts w:ascii="Arial;sans-serif" w:hAnsi="Arial;sans-serif"/>
          <w:b/>
          <w:color w:val="000000"/>
          <w:sz w:val="20"/>
        </w:rPr>
        <w:t>Exhibit 32.1</w:t>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of Chief Executive Officer and Chief Financial Officer</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under Section 906 of the Sarbanes-Oxley Act of 2002</w:t>
      </w:r>
    </w:p>
    <w:p>
      <w:pPr>
        <w:pStyle w:val="TextBody"/>
        <w:bidi w:val="0"/>
        <w:spacing w:lineRule="auto" w:line="288" w:before="0" w:after="0"/>
        <w:jc w:val="center"/>
        <w:rPr/>
      </w:pPr>
      <w:r>
        <w:rPr>
          <w:rFonts w:ascii="Arial;sans-serif" w:hAnsi="Arial;sans-serif"/>
          <w:b/>
          <w:color w:val="000000"/>
          <w:sz w:val="20"/>
        </w:rPr>
        <w:t>(18 U.S.C. § 1350)</w:t>
      </w:r>
      <w:r>
        <w:rPr>
          <w:color w:val="000000"/>
        </w:rPr>
        <w:t> </w:t>
      </w:r>
    </w:p>
    <w:p>
      <w:pPr>
        <w:pStyle w:val="TextBody"/>
        <w:bidi w:val="0"/>
        <w:spacing w:lineRule="auto" w:line="288" w:before="480" w:after="120"/>
        <w:jc w:val="left"/>
        <w:rPr>
          <w:color w:val="000000"/>
        </w:rPr>
      </w:pPr>
      <w:r>
        <w:rPr>
          <w:color w:val="000000"/>
        </w:rPr>
        <w:t>    </w:t>
      </w:r>
      <w:r>
        <w:rPr>
          <w:rFonts w:ascii="Arial;sans-serif" w:hAnsi="Arial;sans-serif"/>
          <w:b w:val="false"/>
          <w:color w:val="000000"/>
          <w:sz w:val="20"/>
        </w:rPr>
        <w:t>We, Ira M. Birns, the Chief Executive Officer of World Kinect Corporation (the "Company"), and Jose-Miguel Tejada, the Executive Vice President and Chief Financial Officer of the Company, certify for the purposes of Section 1350 of Chapter 63 of Title 18 of the United States Code that, to the best of our knowledge,</w:t>
      </w:r>
    </w:p>
    <w:p>
      <w:pPr>
        <w:pStyle w:val="TextBody"/>
        <w:bidi w:val="0"/>
        <w:spacing w:lineRule="auto" w:line="288" w:before="120" w:after="120"/>
        <w:ind w:left="0" w:right="0" w:hanging="360"/>
        <w:jc w:val="left"/>
        <w:rPr>
          <w:rFonts w:ascii="Arial;sans-serif" w:hAnsi="Arial;sans-serif"/>
          <w:b w:val="false"/>
          <w:color w:val="000000"/>
          <w:sz w:val="20"/>
        </w:rPr>
      </w:pPr>
      <w:r>
        <w:rPr>
          <w:rFonts w:ascii="Arial;sans-serif" w:hAnsi="Arial;sans-serif"/>
          <w:b w:val="false"/>
          <w:color w:val="000000"/>
          <w:sz w:val="20"/>
        </w:rPr>
        <w:t>i.the Quarterly Report on Form 10-Q of the Company for the period ended June 30, 2026 (the "Report") fully complies with the requirements of Section 13(a) or 15(d), as applicable, of the Securities Exchange Act of 1934; and</w:t>
      </w:r>
    </w:p>
    <w:p>
      <w:pPr>
        <w:pStyle w:val="TextBody"/>
        <w:bidi w:val="0"/>
        <w:spacing w:lineRule="auto" w:line="288" w:before="120" w:after="480"/>
        <w:ind w:left="0" w:right="0" w:hanging="360"/>
        <w:jc w:val="left"/>
        <w:rPr>
          <w:rFonts w:ascii="Arial;sans-serif" w:hAnsi="Arial;sans-serif"/>
          <w:b w:val="false"/>
          <w:color w:val="000000"/>
          <w:sz w:val="20"/>
        </w:rPr>
      </w:pPr>
      <w:r>
        <w:rPr>
          <w:rFonts w:ascii="Arial;sans-serif" w:hAnsi="Arial;sans-serif"/>
          <w:b w:val="false"/>
          <w:color w:val="000000"/>
          <w:sz w:val="20"/>
        </w:rPr>
        <w:t>ii.the information contained in the Report fairly presents, in all material respects, the financial condition and results of operations of the Company. </w:t>
      </w:r>
    </w:p>
    <w:tbl>
      <w:tblPr>
        <w:tblW w:w="6539" w:type="dxa"/>
        <w:jc w:val="left"/>
        <w:tblInd w:w="0" w:type="dxa"/>
        <w:tblLayout w:type="fixed"/>
        <w:tblCellMar>
          <w:top w:w="28" w:type="dxa"/>
          <w:left w:w="28" w:type="dxa"/>
          <w:bottom w:w="28" w:type="dxa"/>
          <w:right w:w="28" w:type="dxa"/>
        </w:tblCellMar>
      </w:tblPr>
      <w:tblGrid>
        <w:gridCol w:w="656"/>
        <w:gridCol w:w="576"/>
        <w:gridCol w:w="582"/>
        <w:gridCol w:w="1384"/>
        <w:gridCol w:w="1384"/>
        <w:gridCol w:w="1957"/>
      </w:tblGrid>
      <w:tr>
        <w:trPr/>
        <w:tc>
          <w:tcPr>
            <w:tcW w:w="65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957"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July 24, 2026</w:t>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Ira M. Birns</w:t>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Ira M. Birns</w:t>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Chief Executive Officer</w:t>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 Jose-Miguel Tejada</w:t>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Jose-Miguel Tejada</w:t>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Executive Vice President and Chief Financial Officer</w:t>
            </w:r>
          </w:p>
        </w:tc>
      </w:tr>
    </w:tbl>
    <w:p>
      <w:pPr>
        <w:pStyle w:val="TextBody"/>
        <w:bidi w:val="0"/>
        <w:spacing w:lineRule="auto" w:line="288" w:before="480" w:after="283"/>
        <w:jc w:val="left"/>
        <w:rPr>
          <w:rFonts w:ascii="Arial;sans-serif" w:hAnsi="Arial;sans-serif"/>
          <w:b w:val="false"/>
          <w:color w:val="000000"/>
          <w:sz w:val="20"/>
        </w:rPr>
      </w:pPr>
      <w:r>
        <w:rPr>
          <w:rFonts w:ascii="Arial;sans-serif" w:hAnsi="Arial;sans-serif"/>
          <w:b w:val="false"/>
          <w:color w:val="000000"/>
          <w:sz w:val="20"/>
        </w:rPr>
        <w:t>The foregoing certification is being furnished as an exhibit to the Report pursuant to Item 601(b)(32) of Regulation S-K and Section 906 of the Sarbanes-Oxley Act of 2002 and, accordingly, is not being filed with the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22215</Words>
  <Characters>122621</Characters>
  <CharactersWithSpaces>143075</CharactersWithSpaces>
  <Paragraphs>3383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