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STEBBINS PAUL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33,445</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39.9262</w:t>
            </w:r>
            <w:r>
              <w:rPr>
                <w:rFonts w:ascii="Times;serif" w:hAnsi="Times;serif"/>
                <w:color w:val="008000"/>
                <w:position w:val="7"/>
                <w:sz w:val="16"/>
                <w:sz w:val="20"/>
                <w:shd w:fill="FFFFFF" w:val="clear"/>
              </w:rPr>
              <w:t>(1)</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58,878</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represents the weighted average sale price for multiple transactions reported on this line. The prices of the transactions ranged from $39.75 to $40.21, inclusive. The reporting person undertakes to provide the issuer and will provide any security holder of the issuer or the SEC staff, upon request, information regarding the number of shares sold at each separate price within the specified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Boitz Stebbins Irrevocable Family Trust, of which the reporting person is the trustee and a beneficiary. The reporting person disclaims beneficial ownership of any shares in which 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725"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3669</Characters>
  <CharactersWithSpaces>4274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